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C59" w:rsidRDefault="004F2C59" w:rsidP="004F2C59">
      <w:pPr>
        <w:rPr>
          <w:rFonts w:ascii="Calibri" w:hAnsi="Calibri" w:cs="Calibri"/>
        </w:rPr>
      </w:pPr>
      <w:bookmarkStart w:id="0" w:name="_MailOriginal"/>
      <w:r>
        <w:rPr>
          <w:b/>
        </w:rPr>
        <w:t>Oggetto:</w:t>
      </w:r>
      <w:r>
        <w:t xml:space="preserve"> Comunicato stampa: Una serata di giochi in occasione del finissage dell’esposizione PORTFOLIO della collezione d’arte Raiffeisen - Il portafoglio dal 2016 al 2022</w:t>
      </w:r>
    </w:p>
    <w:p w:rsidR="004F2C59" w:rsidRDefault="004F2C59" w:rsidP="004F2C59">
      <w:pPr>
        <w:rPr>
          <w:rFonts w:eastAsiaTheme="minorHAnsi"/>
          <w:lang w:eastAsia="en-US"/>
        </w:rPr>
      </w:pPr>
    </w:p>
    <w:p w:rsidR="004F2C59" w:rsidRDefault="004F2C59" w:rsidP="004F2C59">
      <w:pPr>
        <w:autoSpaceDE w:val="0"/>
        <w:autoSpaceDN w:val="0"/>
        <w:spacing w:before="240"/>
        <w:rPr>
          <w:rFonts w:ascii="Tms Rmn" w:hAnsi="Tms Rmn"/>
          <w:color w:val="000000"/>
          <w:sz w:val="24"/>
          <w:szCs w:val="24"/>
        </w:rPr>
      </w:pPr>
      <w:r w:rsidRPr="00CF756B">
        <w:rPr>
          <w:rFonts w:ascii="Arial" w:hAnsi="Arial"/>
          <w:b/>
          <w:color w:val="000000"/>
        </w:rPr>
        <w:t>Ai media</w:t>
      </w:r>
      <w:r>
        <w:rPr>
          <w:rFonts w:ascii="Arial" w:hAnsi="Arial"/>
          <w:b/>
          <w:color w:val="000000"/>
          <w:sz w:val="24"/>
        </w:rPr>
        <w:br/>
        <w:t>Comunicato stampa</w:t>
      </w:r>
      <w:r>
        <w:rPr>
          <w:rFonts w:ascii="Tms Rmn" w:hAnsi="Tms Rmn"/>
          <w:color w:val="000000"/>
          <w:sz w:val="24"/>
        </w:rPr>
        <w:t xml:space="preserve"> </w:t>
      </w:r>
    </w:p>
    <w:p w:rsidR="004F2C59" w:rsidRDefault="004F2C59" w:rsidP="004F2C59">
      <w:pPr>
        <w:autoSpaceDE w:val="0"/>
        <w:autoSpaceDN w:val="0"/>
        <w:spacing w:before="240"/>
        <w:rPr>
          <w:rFonts w:ascii="Arial" w:hAnsi="Arial" w:cs="Arial"/>
          <w:b/>
          <w:bCs/>
          <w:color w:val="000000"/>
          <w:sz w:val="24"/>
          <w:szCs w:val="24"/>
        </w:rPr>
      </w:pPr>
      <w:r>
        <w:rPr>
          <w:rFonts w:ascii="Tms Rmn" w:hAnsi="Tms Rmn"/>
          <w:noProof/>
          <w:color w:val="000000"/>
          <w:sz w:val="24"/>
        </w:rPr>
        <w:drawing>
          <wp:inline distT="0" distB="0" distL="0" distR="0">
            <wp:extent cx="1562418" cy="782726"/>
            <wp:effectExtent l="0" t="0" r="0" b="0"/>
            <wp:docPr id="13" name="Grafik 13" descr="cid:image010.jpg@01D8DCCD.96A8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10.jpg@01D8DCCD.96A8A2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6796" cy="789929"/>
                    </a:xfrm>
                    <a:prstGeom prst="rect">
                      <a:avLst/>
                    </a:prstGeom>
                    <a:noFill/>
                    <a:ln>
                      <a:noFill/>
                    </a:ln>
                  </pic:spPr>
                </pic:pic>
              </a:graphicData>
            </a:graphic>
          </wp:inline>
        </w:drawing>
      </w:r>
      <w:r>
        <w:rPr>
          <w:rFonts w:ascii="Tms Rmn" w:hAnsi="Tms Rmn"/>
          <w:color w:val="000000"/>
          <w:sz w:val="24"/>
        </w:rPr>
        <w:t> </w:t>
      </w:r>
      <w:r>
        <w:rPr>
          <w:rFonts w:ascii="Arial" w:hAnsi="Arial"/>
          <w:b/>
          <w:color w:val="000000"/>
          <w:sz w:val="24"/>
        </w:rPr>
        <w:t>                                 </w:t>
      </w:r>
      <w:r>
        <w:rPr>
          <w:noProof/>
        </w:rPr>
        <w:drawing>
          <wp:inline distT="0" distB="0" distL="0" distR="0">
            <wp:extent cx="2648102" cy="784997"/>
            <wp:effectExtent l="0" t="0" r="0" b="0"/>
            <wp:docPr id="12" name="Grafik 12" descr="cid:image011.jpg@01D8DCCD.96A8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11.jpg@01D8DCCD.96A8A2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72162" cy="792129"/>
                    </a:xfrm>
                    <a:prstGeom prst="rect">
                      <a:avLst/>
                    </a:prstGeom>
                    <a:noFill/>
                    <a:ln>
                      <a:noFill/>
                    </a:ln>
                  </pic:spPr>
                </pic:pic>
              </a:graphicData>
            </a:graphic>
          </wp:inline>
        </w:drawing>
      </w:r>
      <w:r>
        <w:rPr>
          <w:rFonts w:ascii="Arial" w:hAnsi="Arial"/>
          <w:b/>
          <w:color w:val="000000"/>
          <w:sz w:val="24"/>
        </w:rPr>
        <w:t> </w:t>
      </w:r>
    </w:p>
    <w:p w:rsidR="004F2C59" w:rsidRDefault="007A7CF0" w:rsidP="004F2C59">
      <w:pPr>
        <w:pStyle w:val="berschrift3"/>
        <w:spacing w:before="0"/>
        <w:jc w:val="center"/>
      </w:pPr>
      <w:bookmarkStart w:id="1" w:name="_Hlk116288575"/>
      <w:r>
        <w:t xml:space="preserve">Finissage dell’esposizione PORTFOLIO della collezione d’arte Raiffeisen: </w:t>
      </w:r>
    </w:p>
    <w:p w:rsidR="004F2C59" w:rsidRDefault="005834B2" w:rsidP="004F2C59">
      <w:pPr>
        <w:pStyle w:val="berschrift3"/>
        <w:spacing w:before="0"/>
        <w:jc w:val="center"/>
      </w:pPr>
      <w:r>
        <w:t>un’esposizione conclusa</w:t>
      </w:r>
      <w:r w:rsidR="00CF756B">
        <w:t>si</w:t>
      </w:r>
      <w:r>
        <w:t xml:space="preserve"> all’insegna del gioco</w:t>
      </w:r>
    </w:p>
    <w:p w:rsidR="004F2C59" w:rsidRDefault="004F2C59" w:rsidP="004F2C59">
      <w:pPr>
        <w:rPr>
          <w:rFonts w:eastAsiaTheme="minorHAnsi"/>
        </w:rPr>
      </w:pPr>
    </w:p>
    <w:p w:rsidR="004F2C59" w:rsidRDefault="004F2C59" w:rsidP="00CF756B">
      <w:pPr>
        <w:jc w:val="both"/>
        <w:rPr>
          <w:rFonts w:ascii="Arial" w:hAnsi="Arial" w:cs="Arial"/>
          <w:color w:val="000000"/>
        </w:rPr>
      </w:pPr>
    </w:p>
    <w:p w:rsidR="00EF4561" w:rsidRPr="00E21EEF" w:rsidRDefault="004F2C59" w:rsidP="00CF756B">
      <w:pPr>
        <w:jc w:val="both"/>
        <w:rPr>
          <w:rFonts w:ascii="Arial" w:hAnsi="Arial" w:cs="Arial"/>
          <w:b/>
          <w:sz w:val="22"/>
          <w:szCs w:val="22"/>
        </w:rPr>
      </w:pPr>
      <w:r>
        <w:rPr>
          <w:rFonts w:ascii="Arial" w:hAnsi="Arial"/>
          <w:b/>
          <w:sz w:val="22"/>
        </w:rPr>
        <w:t>Venerdì 2 dicembre 2022 si è tenuto il finissage dell’esposizione PORTFOLIO della collezione d’arte Raiffeisen presso la Landkommende Weggenstein - Deutschhaus a Bolzano. Le opere acquisite per la collezione</w:t>
      </w:r>
      <w:r w:rsidR="00CF756B">
        <w:rPr>
          <w:rFonts w:ascii="Arial" w:hAnsi="Arial"/>
          <w:b/>
          <w:sz w:val="22"/>
        </w:rPr>
        <w:t>,</w:t>
      </w:r>
      <w:r>
        <w:rPr>
          <w:rFonts w:ascii="Arial" w:hAnsi="Arial"/>
          <w:b/>
          <w:sz w:val="22"/>
        </w:rPr>
        <w:t xml:space="preserve"> dal 2016 a oggi</w:t>
      </w:r>
      <w:r w:rsidR="00CF756B">
        <w:rPr>
          <w:rFonts w:ascii="Arial" w:hAnsi="Arial"/>
          <w:b/>
          <w:sz w:val="22"/>
        </w:rPr>
        <w:t>,</w:t>
      </w:r>
      <w:r>
        <w:rPr>
          <w:rFonts w:ascii="Arial" w:hAnsi="Arial"/>
          <w:b/>
          <w:sz w:val="22"/>
        </w:rPr>
        <w:t xml:space="preserve"> sono state esposte per due mesi. In totale, si sono potute ammirare 109 opere di oltre settanta artiste e artisti contemporanei. </w:t>
      </w:r>
      <w:r>
        <w:rPr>
          <w:rFonts w:ascii="Arial" w:hAnsi="Arial"/>
          <w:b/>
          <w:bCs/>
          <w:sz w:val="22"/>
        </w:rPr>
        <w:t>Numerosi appassionati hanno approfittato di questa opportunità per avere un quadro d’insieme dell’eterogeneità della collezione.</w:t>
      </w:r>
    </w:p>
    <w:p w:rsidR="00E155AC" w:rsidRPr="00E21EEF" w:rsidRDefault="00EF4561" w:rsidP="000C0D8F">
      <w:pPr>
        <w:autoSpaceDE w:val="0"/>
        <w:autoSpaceDN w:val="0"/>
        <w:rPr>
          <w:rFonts w:ascii="Arial" w:hAnsi="Arial" w:cs="Arial"/>
          <w:sz w:val="22"/>
          <w:szCs w:val="22"/>
        </w:rPr>
      </w:pPr>
      <w:r>
        <w:rPr>
          <w:rFonts w:ascii="Arial" w:hAnsi="Arial"/>
          <w:b/>
          <w:sz w:val="22"/>
        </w:rPr>
        <w:t>In occasione del finissage dell’esposizione PORTFOLIO, è stata organizzata una serata di giochi ideati dalle artiste e artisti.</w:t>
      </w:r>
      <w:r>
        <w:rPr>
          <w:rFonts w:ascii="Arial" w:hAnsi="Arial"/>
          <w:b/>
          <w:sz w:val="22"/>
        </w:rPr>
        <w:br/>
      </w:r>
    </w:p>
    <w:p w:rsidR="00532148" w:rsidRDefault="00532148" w:rsidP="00532148">
      <w:pPr>
        <w:jc w:val="both"/>
        <w:rPr>
          <w:rFonts w:ascii="Arial" w:hAnsi="Arial" w:cs="Arial"/>
          <w:sz w:val="22"/>
          <w:szCs w:val="22"/>
        </w:rPr>
      </w:pPr>
      <w:r>
        <w:rPr>
          <w:rFonts w:ascii="Arial" w:hAnsi="Arial"/>
          <w:sz w:val="22"/>
        </w:rPr>
        <w:t>Una rassegna speciale dell’attuale paesaggio artistico locale è stata recentemente presentata agli amanti dell’arte presso la Landkommende Weggenstein - Deutschhaus a Bolzano. Dal 7 ottobre al 2 dicembre sono state esposte le nuove acquisizioni della collezione d’arte Raiffeisen dal 2016 al 2022, per un totale di 109 opere d'arte.</w:t>
      </w:r>
    </w:p>
    <w:p w:rsidR="00532148" w:rsidRPr="00532148" w:rsidRDefault="00532148" w:rsidP="00532148">
      <w:pPr>
        <w:jc w:val="both"/>
        <w:rPr>
          <w:rFonts w:ascii="Arial" w:hAnsi="Arial" w:cs="Arial"/>
          <w:sz w:val="22"/>
          <w:szCs w:val="22"/>
        </w:rPr>
      </w:pPr>
    </w:p>
    <w:p w:rsidR="00532148" w:rsidRPr="007E39FD" w:rsidRDefault="00532148" w:rsidP="007E39FD">
      <w:pPr>
        <w:jc w:val="both"/>
        <w:rPr>
          <w:rFonts w:ascii="Arial" w:hAnsi="Arial" w:cs="Arial"/>
          <w:sz w:val="22"/>
          <w:szCs w:val="22"/>
        </w:rPr>
      </w:pPr>
      <w:r>
        <w:rPr>
          <w:rFonts w:ascii="Arial" w:hAnsi="Arial"/>
          <w:sz w:val="22"/>
        </w:rPr>
        <w:t xml:space="preserve">Dal 2011, la Cassa Centrale Raiffeisen dell’Alto Adige colleziona opere di artisti contemporanei. Oggi, la collezione conta in tutto 184 opere di 99 artiste e artisti. Lo scopo di questo progetto è quello di sostenere le artiste e gli artisti locali e di creare una collezione rappresentativa dell’arte contemporanea in tutto il Tirolo. </w:t>
      </w:r>
      <w:r w:rsidR="00CF756B">
        <w:rPr>
          <w:rFonts w:ascii="Arial" w:hAnsi="Arial"/>
          <w:sz w:val="22"/>
        </w:rPr>
        <w:t xml:space="preserve">Durante </w:t>
      </w:r>
      <w:r>
        <w:rPr>
          <w:rFonts w:ascii="Arial" w:hAnsi="Arial"/>
          <w:sz w:val="22"/>
        </w:rPr>
        <w:t xml:space="preserve">l’esposizione, le nuove opere acquisite a partire dal 2016 sono state presentate al pubblico; si tratta di 109 </w:t>
      </w:r>
      <w:r w:rsidR="00CF756B">
        <w:rPr>
          <w:rFonts w:ascii="Arial" w:hAnsi="Arial"/>
          <w:sz w:val="22"/>
        </w:rPr>
        <w:t>lavori</w:t>
      </w:r>
      <w:r>
        <w:rPr>
          <w:rFonts w:ascii="Arial" w:hAnsi="Arial"/>
          <w:sz w:val="22"/>
        </w:rPr>
        <w:t xml:space="preserve"> di oltre 70 artiste e artisti del Tirolo del Sud e del Nord. </w:t>
      </w:r>
      <w:r w:rsidR="00CF756B">
        <w:rPr>
          <w:rFonts w:ascii="Arial" w:hAnsi="Arial"/>
          <w:sz w:val="22"/>
        </w:rPr>
        <w:t>L’</w:t>
      </w:r>
      <w:r>
        <w:rPr>
          <w:rFonts w:ascii="Arial" w:hAnsi="Arial"/>
          <w:sz w:val="22"/>
        </w:rPr>
        <w:t xml:space="preserve">esposizione ha destato l’interesse di un vasto numero di visitatori. Molti, infatti, hanno colto questa occasione per ammirare le opere d’arte della collezione. </w:t>
      </w:r>
    </w:p>
    <w:p w:rsidR="007E39FD" w:rsidRPr="005107A3" w:rsidRDefault="007E39FD" w:rsidP="007E39FD">
      <w:pPr>
        <w:jc w:val="both"/>
        <w:rPr>
          <w:rFonts w:ascii="Arial" w:hAnsi="Arial" w:cs="Arial"/>
          <w:sz w:val="22"/>
          <w:szCs w:val="22"/>
        </w:rPr>
      </w:pPr>
    </w:p>
    <w:p w:rsidR="00532148" w:rsidRPr="005107A3" w:rsidRDefault="00532148" w:rsidP="00161C99">
      <w:pPr>
        <w:jc w:val="both"/>
        <w:rPr>
          <w:rFonts w:ascii="Arial" w:hAnsi="Arial" w:cs="Arial"/>
          <w:sz w:val="22"/>
          <w:szCs w:val="22"/>
        </w:rPr>
      </w:pPr>
      <w:r>
        <w:rPr>
          <w:rFonts w:ascii="Arial" w:hAnsi="Arial"/>
          <w:sz w:val="22"/>
        </w:rPr>
        <w:t xml:space="preserve">I nuovi acquisti sono selezionati in base a un concetto di fondo orientato al lungo termine che viene via via ulteriormente sviluppato dai membri del comitato artistico Günther Dankl, Lisa Trockner e Brigitte Matthias. “Con la collezione desideriamo, innanzitutto, promuovere le artiste e gli artisti locali e dare loro e alle loro opere visibilità. L’esposizione ci ha permesso di </w:t>
      </w:r>
      <w:r w:rsidR="00CF756B">
        <w:rPr>
          <w:rFonts w:ascii="Arial" w:hAnsi="Arial"/>
          <w:sz w:val="22"/>
        </w:rPr>
        <w:t xml:space="preserve">realizzare </w:t>
      </w:r>
      <w:r>
        <w:rPr>
          <w:rFonts w:ascii="Arial" w:hAnsi="Arial"/>
          <w:sz w:val="22"/>
        </w:rPr>
        <w:t xml:space="preserve">questo nostro intento”, ha affermato il </w:t>
      </w:r>
      <w:r w:rsidR="000C0D8F">
        <w:rPr>
          <w:rFonts w:ascii="Arial" w:hAnsi="Arial"/>
          <w:sz w:val="22"/>
        </w:rPr>
        <w:t>Vicep</w:t>
      </w:r>
      <w:r>
        <w:rPr>
          <w:rFonts w:ascii="Arial" w:hAnsi="Arial"/>
          <w:sz w:val="22"/>
        </w:rPr>
        <w:t xml:space="preserve">residente della Cassa Centrale Raiffeisen </w:t>
      </w:r>
      <w:r w:rsidR="000C0D8F">
        <w:rPr>
          <w:rFonts w:ascii="Arial" w:hAnsi="Arial"/>
          <w:sz w:val="22"/>
        </w:rPr>
        <w:t>Josef Alb</w:t>
      </w:r>
      <w:bookmarkStart w:id="2" w:name="_GoBack"/>
      <w:bookmarkEnd w:id="2"/>
      <w:r>
        <w:rPr>
          <w:rFonts w:ascii="Arial" w:hAnsi="Arial"/>
          <w:sz w:val="22"/>
        </w:rPr>
        <w:t>er.</w:t>
      </w:r>
    </w:p>
    <w:p w:rsidR="00532148" w:rsidRPr="005107A3" w:rsidRDefault="00532148" w:rsidP="00532148">
      <w:pPr>
        <w:jc w:val="both"/>
        <w:rPr>
          <w:rFonts w:ascii="Arial" w:hAnsi="Arial" w:cs="Arial"/>
          <w:sz w:val="22"/>
          <w:szCs w:val="22"/>
        </w:rPr>
      </w:pPr>
    </w:p>
    <w:p w:rsidR="005107A3" w:rsidRPr="005107A3" w:rsidRDefault="00532148" w:rsidP="00CF756B">
      <w:pPr>
        <w:jc w:val="both"/>
        <w:rPr>
          <w:rFonts w:ascii="Arial" w:hAnsi="Arial" w:cs="Arial"/>
          <w:sz w:val="22"/>
          <w:szCs w:val="22"/>
        </w:rPr>
      </w:pPr>
      <w:r>
        <w:rPr>
          <w:rFonts w:ascii="Arial" w:hAnsi="Arial"/>
          <w:sz w:val="22"/>
        </w:rPr>
        <w:t xml:space="preserve">All’esposizione è stato possibile ammirare le opere di Stefan Alber, Gino Alberti, Elisa Alberti, AliPaloma, Leonhard Angerer, Lois Anvidalfarei, Walter Battisti, Marlies Baumgartner, Michele Bernardi, Anna-Maria Bogner, Gotthard Bonell, Julia Bornefeld, Johannes Bosisio, Robert Bosisio, Max Brenner, Susanne Burchia, Arnold Mario Dall'O, Aron Demetz, Manfred Eccli, Ulrich Egger, Thomas Feuerstein, Thomas Grandi, Elisa Grezzani, Urban Grünfelder, Mirijam Heiler, Christoph Hinterhuber, Arnold Holzknecht, Ingrid Hora, Simon Iurino, Arthur Kostner, Hubert Kostner, Matthias Krinzinger, Giancarlo Lamonaca, Sophie Lazari, Cindy Leitner, Brigitte Mahlknecht, Linda Jasmin Mayer, Philipp Messner, Sissa Micheli, Christian Niccoli, Walter </w:t>
      </w:r>
      <w:r>
        <w:rPr>
          <w:rFonts w:ascii="Arial" w:hAnsi="Arial"/>
          <w:sz w:val="22"/>
        </w:rPr>
        <w:lastRenderedPageBreak/>
        <w:t>Niedermayr, Elisabeth Oberrauch, Bernd Oppl, Robert Pan, Diego Perathoner, Maria Peters, Christian Piffrader, Petra Polli, Leonora Prugger, Christian Reisigl, Manuel Resch e Maximilian Maria Willeit, Thomas Riess, Gregor Sailer, Hubert Scheibe, Karin Schmuck, Leander Schönweger, Nora Schöpfer, Leander Schwazer, Peter Senoner, Sarah Solderer, Martina Steckholzer, Thomas Sterna, Simon Terzer, Paul Thuile, Martina Tscherni, Andrea Varesco, Rens Veltman, Letizia Werth, Heidrun Widmoser, Alexander Wierer, Gustav Willeit, Benjamin Zanon.</w:t>
      </w:r>
    </w:p>
    <w:p w:rsidR="005107A3" w:rsidRPr="005107A3" w:rsidRDefault="005107A3" w:rsidP="00CF756B">
      <w:pPr>
        <w:jc w:val="both"/>
        <w:rPr>
          <w:rFonts w:ascii="Arial" w:hAnsi="Arial" w:cs="Arial"/>
          <w:sz w:val="22"/>
          <w:szCs w:val="22"/>
        </w:rPr>
      </w:pPr>
    </w:p>
    <w:p w:rsidR="007E39FD" w:rsidRDefault="007E39FD" w:rsidP="00CF756B">
      <w:pPr>
        <w:autoSpaceDE w:val="0"/>
        <w:autoSpaceDN w:val="0"/>
        <w:jc w:val="both"/>
        <w:rPr>
          <w:rFonts w:ascii="Arial" w:hAnsi="Arial" w:cs="Arial"/>
          <w:sz w:val="22"/>
          <w:szCs w:val="22"/>
        </w:rPr>
      </w:pPr>
      <w:r>
        <w:rPr>
          <w:rFonts w:ascii="Arial" w:hAnsi="Arial"/>
          <w:sz w:val="22"/>
        </w:rPr>
        <w:t>In occasione del finissage dell’esposizione PORTFOLIO, è stata organizzata una serata di giochi ideati dalle artiste e artisti. A condurre i giochi da loro ideati sono stati Manfred Eccli, Hannes Egger, Hubert Kostner, Sarah Solderer, Josef Rainer e Leonora Prugger. Una conclusione dell’esposizione del tutto speciale e ricca di intrattenimento, durante la quale i partecipanti si sono avvicinati all’arte giocosamente.</w:t>
      </w:r>
    </w:p>
    <w:p w:rsidR="007A0004" w:rsidRPr="00161C99" w:rsidRDefault="007A0004" w:rsidP="00CF756B">
      <w:pPr>
        <w:autoSpaceDE w:val="0"/>
        <w:autoSpaceDN w:val="0"/>
        <w:jc w:val="both"/>
        <w:rPr>
          <w:rFonts w:ascii="Arial" w:hAnsi="Arial" w:cs="Arial"/>
          <w:sz w:val="22"/>
          <w:szCs w:val="22"/>
        </w:rPr>
      </w:pPr>
    </w:p>
    <w:p w:rsidR="00532148" w:rsidRPr="00BD0F30" w:rsidRDefault="00161C99" w:rsidP="00CF756B">
      <w:pPr>
        <w:autoSpaceDE w:val="0"/>
        <w:autoSpaceDN w:val="0"/>
        <w:jc w:val="both"/>
        <w:rPr>
          <w:rFonts w:ascii="Arial" w:hAnsi="Arial" w:cs="Arial"/>
          <w:sz w:val="22"/>
          <w:szCs w:val="22"/>
        </w:rPr>
      </w:pPr>
      <w:r>
        <w:rPr>
          <w:rFonts w:ascii="Arial" w:hAnsi="Arial"/>
          <w:sz w:val="22"/>
        </w:rPr>
        <w:t xml:space="preserve">Le nuove acquisizioni del 2022 sono esposte nell’area sportelli della Cassa Centrale Raiffeisen dell’Alto Adige S.p.A. in Via Laurin. L’intera collezione è visitabile 24 ore su 24 all’interno  della galleria virtuale della collezione d’arte Raiffeisen, accessibile dal sito </w:t>
      </w:r>
      <w:hyperlink r:id="rId10" w:history="1">
        <w:r>
          <w:rPr>
            <w:rFonts w:ascii="Arial" w:hAnsi="Arial"/>
            <w:sz w:val="22"/>
          </w:rPr>
          <w:t>www.raiffeisen.it</w:t>
        </w:r>
      </w:hyperlink>
      <w:r>
        <w:t>.</w:t>
      </w:r>
      <w:r>
        <w:rPr>
          <w:rFonts w:ascii="Arial" w:hAnsi="Arial"/>
          <w:sz w:val="22"/>
        </w:rPr>
        <w:t xml:space="preserve"> </w:t>
      </w:r>
    </w:p>
    <w:p w:rsidR="00532148" w:rsidRPr="00161C99" w:rsidRDefault="00532148" w:rsidP="00CF756B">
      <w:pPr>
        <w:autoSpaceDE w:val="0"/>
        <w:autoSpaceDN w:val="0"/>
        <w:jc w:val="both"/>
        <w:rPr>
          <w:rFonts w:ascii="Arial" w:hAnsi="Arial" w:cs="Arial"/>
          <w:sz w:val="22"/>
          <w:szCs w:val="22"/>
        </w:rPr>
      </w:pPr>
    </w:p>
    <w:p w:rsidR="004F2C59" w:rsidRPr="00161C99" w:rsidRDefault="004F2C59" w:rsidP="00CF756B">
      <w:pPr>
        <w:jc w:val="both"/>
        <w:rPr>
          <w:rFonts w:ascii="Arial" w:hAnsi="Arial" w:cs="Arial"/>
          <w:sz w:val="22"/>
          <w:szCs w:val="22"/>
        </w:rPr>
      </w:pPr>
      <w:r>
        <w:rPr>
          <w:rFonts w:ascii="Arial" w:hAnsi="Arial"/>
          <w:sz w:val="22"/>
        </w:rPr>
        <w:t>Una panoramica della collezione è disponibile sul sito https://www.raiffeisen.it/it/cassa-centrale/collezione-di-opere-darte</w:t>
      </w:r>
    </w:p>
    <w:p w:rsidR="004F2C59" w:rsidRPr="00161C99" w:rsidRDefault="004F2C59" w:rsidP="004F2C59">
      <w:pPr>
        <w:spacing w:line="360" w:lineRule="auto"/>
        <w:rPr>
          <w:rFonts w:ascii="Arial" w:hAnsi="Arial" w:cs="Arial"/>
          <w:sz w:val="22"/>
          <w:szCs w:val="22"/>
        </w:rPr>
      </w:pPr>
    </w:p>
    <w:p w:rsidR="004F2C59" w:rsidRDefault="004F2C59" w:rsidP="004F2C59">
      <w:pPr>
        <w:rPr>
          <w:rFonts w:ascii="Arial" w:hAnsi="Arial" w:cs="Arial"/>
          <w:color w:val="000000"/>
        </w:rPr>
      </w:pPr>
      <w:r>
        <w:rPr>
          <w:rFonts w:ascii="Arial" w:hAnsi="Arial"/>
          <w:color w:val="000000"/>
        </w:rPr>
        <w:t>Bolzano, 5 dicembre 2022</w:t>
      </w:r>
    </w:p>
    <w:p w:rsidR="004F2C59" w:rsidRDefault="004F2C59" w:rsidP="004F2C59">
      <w:pPr>
        <w:rPr>
          <w:rFonts w:ascii="Arial" w:hAnsi="Arial" w:cs="Arial"/>
          <w:color w:val="000000"/>
          <w:sz w:val="22"/>
          <w:szCs w:val="22"/>
        </w:rPr>
      </w:pPr>
    </w:p>
    <w:p w:rsidR="004F2C59" w:rsidRDefault="004F2C59" w:rsidP="00CF756B">
      <w:pPr>
        <w:jc w:val="both"/>
        <w:rPr>
          <w:rFonts w:ascii="Arial" w:hAnsi="Arial" w:cs="Arial"/>
          <w:color w:val="000000"/>
        </w:rPr>
      </w:pPr>
      <w:r>
        <w:rPr>
          <w:rFonts w:ascii="Arial" w:hAnsi="Arial"/>
          <w:color w:val="000000"/>
        </w:rPr>
        <w:t>I comunicati stampa e le foto possono essere scaricati all’indirizzo: www.raiffeisen.it/it/cassa-centrale/siamo-sostenibili/chi-siamo/informazioni-per-la-stampa-newsroom/informazioni-per-la-stampa.html</w:t>
      </w:r>
    </w:p>
    <w:p w:rsidR="004F2C59" w:rsidRDefault="004F2C59" w:rsidP="00CF756B">
      <w:pPr>
        <w:jc w:val="both"/>
        <w:rPr>
          <w:rFonts w:ascii="Arial" w:hAnsi="Arial" w:cs="Arial"/>
          <w:color w:val="000000"/>
        </w:rPr>
      </w:pPr>
    </w:p>
    <w:p w:rsidR="004F2C59" w:rsidRDefault="004F2C59" w:rsidP="00CF756B">
      <w:pPr>
        <w:jc w:val="both"/>
        <w:rPr>
          <w:rFonts w:ascii="Arial" w:hAnsi="Arial" w:cs="Arial"/>
          <w:color w:val="000000"/>
        </w:rPr>
      </w:pPr>
      <w:r>
        <w:rPr>
          <w:rFonts w:ascii="Arial" w:hAnsi="Arial"/>
          <w:color w:val="000000"/>
        </w:rPr>
        <w:t>Siamo a Vostra disposizione per ulteriori chiarimenti.</w:t>
      </w:r>
    </w:p>
    <w:bookmarkEnd w:id="1"/>
    <w:p w:rsidR="004F2C59" w:rsidRDefault="004F2C59" w:rsidP="00CF756B">
      <w:pPr>
        <w:jc w:val="both"/>
        <w:rPr>
          <w:rFonts w:ascii="Arial" w:hAnsi="Arial" w:cs="Arial"/>
        </w:rPr>
      </w:pPr>
    </w:p>
    <w:p w:rsidR="004F2C59" w:rsidRDefault="004F2C59" w:rsidP="00CF756B">
      <w:pPr>
        <w:autoSpaceDE w:val="0"/>
        <w:autoSpaceDN w:val="0"/>
        <w:rPr>
          <w:rFonts w:ascii="Arial" w:hAnsi="Arial" w:cs="Arial"/>
          <w:color w:val="000000"/>
        </w:rPr>
      </w:pPr>
      <w:r>
        <w:rPr>
          <w:rFonts w:ascii="Arial" w:hAnsi="Arial"/>
          <w:color w:val="000000"/>
        </w:rPr>
        <w:t>Cordiali saluti</w:t>
      </w:r>
      <w:r>
        <w:rPr>
          <w:rFonts w:ascii="Arial" w:hAnsi="Arial"/>
          <w:color w:val="000000"/>
        </w:rPr>
        <w:br/>
        <w:t>Christa Ratschiller</w:t>
      </w:r>
    </w:p>
    <w:p w:rsidR="004F2C59" w:rsidRDefault="004F2C59" w:rsidP="004F2C59">
      <w:pPr>
        <w:autoSpaceDE w:val="0"/>
        <w:autoSpaceDN w:val="0"/>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1057"/>
        <w:gridCol w:w="4780"/>
        <w:gridCol w:w="3518"/>
      </w:tblGrid>
      <w:tr w:rsidR="004F2C59" w:rsidTr="004F2C59">
        <w:tc>
          <w:tcPr>
            <w:tcW w:w="6330" w:type="dxa"/>
            <w:gridSpan w:val="2"/>
            <w:tcBorders>
              <w:top w:val="single" w:sz="8" w:space="0" w:color="BFBF00"/>
              <w:left w:val="nil"/>
              <w:bottom w:val="nil"/>
              <w:right w:val="nil"/>
            </w:tcBorders>
          </w:tcPr>
          <w:p w:rsidR="004F2C59" w:rsidRDefault="004F2C59">
            <w:pPr>
              <w:keepNext/>
              <w:autoSpaceDE w:val="0"/>
              <w:autoSpaceDN w:val="0"/>
              <w:rPr>
                <w:rFonts w:ascii="Arial" w:hAnsi="Arial" w:cs="Arial"/>
                <w:color w:val="000000"/>
              </w:rPr>
            </w:pPr>
          </w:p>
        </w:tc>
        <w:tc>
          <w:tcPr>
            <w:tcW w:w="4200" w:type="dxa"/>
            <w:tcBorders>
              <w:top w:val="single" w:sz="8" w:space="0" w:color="BFBF00"/>
              <w:left w:val="nil"/>
              <w:bottom w:val="nil"/>
              <w:right w:val="nil"/>
            </w:tcBorders>
          </w:tcPr>
          <w:p w:rsidR="004F2C59" w:rsidRDefault="004F2C59">
            <w:pPr>
              <w:keepNext/>
              <w:autoSpaceDE w:val="0"/>
              <w:autoSpaceDN w:val="0"/>
              <w:rPr>
                <w:rFonts w:ascii="Arial" w:hAnsi="Arial" w:cs="Arial"/>
                <w:color w:val="000000"/>
              </w:rPr>
            </w:pPr>
          </w:p>
        </w:tc>
      </w:tr>
      <w:tr w:rsidR="004F2C59" w:rsidTr="004F2C59">
        <w:tc>
          <w:tcPr>
            <w:tcW w:w="6330" w:type="dxa"/>
            <w:gridSpan w:val="2"/>
          </w:tcPr>
          <w:p w:rsidR="004F2C59" w:rsidRDefault="004F2C59">
            <w:pPr>
              <w:keepNext/>
              <w:autoSpaceDE w:val="0"/>
              <w:autoSpaceDN w:val="0"/>
              <w:rPr>
                <w:rFonts w:ascii="Arial" w:hAnsi="Arial" w:cs="Arial"/>
                <w:color w:val="008000"/>
              </w:rPr>
            </w:pPr>
            <w:r>
              <w:rPr>
                <w:rFonts w:ascii="Arial" w:hAnsi="Arial"/>
                <w:color w:val="008000"/>
              </w:rPr>
              <w:t>Comunicazione</w:t>
            </w:r>
          </w:p>
          <w:p w:rsidR="004F2C59" w:rsidRDefault="004F2C59">
            <w:pPr>
              <w:keepNext/>
              <w:autoSpaceDE w:val="0"/>
              <w:autoSpaceDN w:val="0"/>
              <w:rPr>
                <w:rFonts w:ascii="Arial" w:hAnsi="Arial" w:cs="Arial"/>
                <w:color w:val="008000"/>
              </w:rPr>
            </w:pPr>
          </w:p>
          <w:p w:rsidR="004F2C59" w:rsidRDefault="004F2C59">
            <w:pPr>
              <w:keepNext/>
              <w:autoSpaceDE w:val="0"/>
              <w:autoSpaceDN w:val="0"/>
              <w:rPr>
                <w:rFonts w:ascii="Arial" w:hAnsi="Arial" w:cs="Arial"/>
                <w:color w:val="000000"/>
                <w:u w:val="single"/>
              </w:rPr>
            </w:pPr>
            <w:r>
              <w:rPr>
                <w:rFonts w:ascii="Arial" w:hAnsi="Arial"/>
                <w:color w:val="000000"/>
                <w:u w:val="single"/>
              </w:rPr>
              <w:t>christa.ratschiller@raiffeisen.it</w:t>
            </w:r>
          </w:p>
          <w:p w:rsidR="004F2C59" w:rsidRDefault="004F2C59">
            <w:pPr>
              <w:keepNext/>
              <w:autoSpaceDE w:val="0"/>
              <w:autoSpaceDN w:val="0"/>
              <w:rPr>
                <w:rFonts w:ascii="Arial" w:hAnsi="Arial" w:cs="Arial"/>
                <w:color w:val="000000"/>
              </w:rPr>
            </w:pPr>
            <w:r>
              <w:rPr>
                <w:rFonts w:ascii="Arial" w:hAnsi="Arial"/>
                <w:color w:val="000000"/>
              </w:rPr>
              <w:t>T +39 0471 94 65 02</w:t>
            </w:r>
          </w:p>
        </w:tc>
        <w:tc>
          <w:tcPr>
            <w:tcW w:w="4200" w:type="dxa"/>
          </w:tcPr>
          <w:p w:rsidR="004F2C59" w:rsidRDefault="004F2C59">
            <w:pPr>
              <w:keepNext/>
              <w:autoSpaceDE w:val="0"/>
              <w:autoSpaceDN w:val="0"/>
              <w:rPr>
                <w:rFonts w:ascii="Arial" w:hAnsi="Arial" w:cs="Arial"/>
                <w:color w:val="000000"/>
              </w:rPr>
            </w:pPr>
          </w:p>
        </w:tc>
      </w:tr>
      <w:tr w:rsidR="004F2C59" w:rsidTr="004F2C59">
        <w:tc>
          <w:tcPr>
            <w:tcW w:w="6330" w:type="dxa"/>
            <w:gridSpan w:val="2"/>
          </w:tcPr>
          <w:p w:rsidR="004F2C59" w:rsidRDefault="004F2C59">
            <w:pPr>
              <w:keepNext/>
              <w:autoSpaceDE w:val="0"/>
              <w:autoSpaceDN w:val="0"/>
              <w:rPr>
                <w:rFonts w:ascii="Arial" w:hAnsi="Arial" w:cs="Arial"/>
                <w:color w:val="000000"/>
              </w:rPr>
            </w:pPr>
          </w:p>
        </w:tc>
        <w:tc>
          <w:tcPr>
            <w:tcW w:w="4200" w:type="dxa"/>
          </w:tcPr>
          <w:p w:rsidR="004F2C59" w:rsidRDefault="004F2C59">
            <w:pPr>
              <w:keepNext/>
              <w:autoSpaceDE w:val="0"/>
              <w:autoSpaceDN w:val="0"/>
              <w:rPr>
                <w:rFonts w:ascii="Arial" w:hAnsi="Arial" w:cs="Arial"/>
                <w:color w:val="000000"/>
              </w:rPr>
            </w:pPr>
          </w:p>
        </w:tc>
      </w:tr>
      <w:tr w:rsidR="004F2C59" w:rsidTr="004F2C59">
        <w:tc>
          <w:tcPr>
            <w:tcW w:w="1065" w:type="dxa"/>
            <w:hideMark/>
          </w:tcPr>
          <w:p w:rsidR="004F2C59" w:rsidRDefault="004F2C59">
            <w:pPr>
              <w:keepNext/>
              <w:autoSpaceDE w:val="0"/>
              <w:autoSpaceDN w:val="0"/>
              <w:rPr>
                <w:rFonts w:ascii="Arial" w:hAnsi="Arial" w:cs="Arial"/>
                <w:color w:val="000000"/>
              </w:rPr>
            </w:pPr>
            <w:r>
              <w:rPr>
                <w:rFonts w:ascii="Arial" w:hAnsi="Arial"/>
                <w:noProof/>
                <w:color w:val="000000"/>
              </w:rPr>
              <w:drawing>
                <wp:inline distT="0" distB="0" distL="0" distR="0">
                  <wp:extent cx="666750" cy="666750"/>
                  <wp:effectExtent l="0" t="0" r="0" b="0"/>
                  <wp:docPr id="11" name="Grafik 11" descr="cid:image001.png@01D8DCCB.D1B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8DCCB.D1BD1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00" w:type="dxa"/>
            <w:hideMark/>
          </w:tcPr>
          <w:p w:rsidR="004F2C59" w:rsidRDefault="004F2C59">
            <w:pPr>
              <w:keepNext/>
              <w:autoSpaceDE w:val="0"/>
              <w:autoSpaceDN w:val="0"/>
              <w:rPr>
                <w:rFonts w:ascii="Arial" w:hAnsi="Arial" w:cs="Arial"/>
                <w:color w:val="000000"/>
              </w:rPr>
            </w:pPr>
            <w:r>
              <w:rPr>
                <w:rFonts w:ascii="Arial" w:hAnsi="Arial"/>
                <w:noProof/>
                <w:color w:val="000000"/>
              </w:rPr>
              <w:drawing>
                <wp:inline distT="0" distB="0" distL="0" distR="0">
                  <wp:extent cx="2667000" cy="666750"/>
                  <wp:effectExtent l="0" t="0" r="0" b="0"/>
                  <wp:docPr id="10" name="Grafik 10" descr="cid:image002.png@01D8DCCB.D1B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2.png@01D8DCCB.D1BD10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67000" cy="666750"/>
                          </a:xfrm>
                          <a:prstGeom prst="rect">
                            <a:avLst/>
                          </a:prstGeom>
                          <a:noFill/>
                          <a:ln>
                            <a:noFill/>
                          </a:ln>
                        </pic:spPr>
                      </pic:pic>
                    </a:graphicData>
                  </a:graphic>
                </wp:inline>
              </w:drawing>
            </w:r>
            <w:r>
              <w:rPr>
                <w:rFonts w:ascii="Arial" w:hAnsi="Arial"/>
                <w:color w:val="000000"/>
              </w:rPr>
              <w:t> </w:t>
            </w:r>
          </w:p>
        </w:tc>
        <w:tc>
          <w:tcPr>
            <w:tcW w:w="4200" w:type="dxa"/>
            <w:hideMark/>
          </w:tcPr>
          <w:p w:rsidR="004F2C59" w:rsidRDefault="004F2C59">
            <w:pPr>
              <w:keepNext/>
              <w:autoSpaceDE w:val="0"/>
              <w:autoSpaceDN w:val="0"/>
              <w:rPr>
                <w:rFonts w:ascii="Helv" w:hAnsi="Helv" w:cs="Calibri"/>
                <w:color w:val="000000"/>
              </w:rPr>
            </w:pPr>
            <w:r>
              <w:rPr>
                <w:rFonts w:ascii="Helv" w:hAnsi="Helv"/>
                <w:color w:val="000000"/>
              </w:rPr>
              <w:t> </w:t>
            </w:r>
            <w:r>
              <w:rPr>
                <w:noProof/>
              </w:rPr>
              <w:drawing>
                <wp:inline distT="0" distB="0" distL="0" distR="0">
                  <wp:extent cx="1689100" cy="603250"/>
                  <wp:effectExtent l="0" t="0" r="6350" b="6350"/>
                  <wp:docPr id="8" name="Grafik 8" descr="cid:image003.gif@01D8DCCB.D1B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id:image003.gif@01D8DCCB.D1BD10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89100" cy="603250"/>
                          </a:xfrm>
                          <a:prstGeom prst="rect">
                            <a:avLst/>
                          </a:prstGeom>
                          <a:noFill/>
                          <a:ln>
                            <a:noFill/>
                          </a:ln>
                        </pic:spPr>
                      </pic:pic>
                    </a:graphicData>
                  </a:graphic>
                </wp:inline>
              </w:drawing>
            </w:r>
            <w:r>
              <w:rPr>
                <w:rFonts w:ascii="Helv" w:hAnsi="Helv"/>
                <w:color w:val="000000"/>
              </w:rPr>
              <w:t> </w:t>
            </w:r>
          </w:p>
        </w:tc>
      </w:tr>
      <w:tr w:rsidR="004F2C59" w:rsidTr="004F2C59">
        <w:tc>
          <w:tcPr>
            <w:tcW w:w="6330" w:type="dxa"/>
            <w:gridSpan w:val="2"/>
          </w:tcPr>
          <w:p w:rsidR="004F2C59" w:rsidRDefault="004F2C59">
            <w:pPr>
              <w:keepNext/>
              <w:autoSpaceDE w:val="0"/>
              <w:autoSpaceDN w:val="0"/>
              <w:rPr>
                <w:rFonts w:ascii="Helv" w:hAnsi="Helv"/>
                <w:color w:val="000000"/>
              </w:rPr>
            </w:pPr>
          </w:p>
        </w:tc>
        <w:tc>
          <w:tcPr>
            <w:tcW w:w="4200" w:type="dxa"/>
          </w:tcPr>
          <w:p w:rsidR="004F2C59" w:rsidRDefault="004F2C59">
            <w:pPr>
              <w:keepNext/>
              <w:autoSpaceDE w:val="0"/>
              <w:autoSpaceDN w:val="0"/>
              <w:rPr>
                <w:rFonts w:ascii="Helv" w:hAnsi="Helv"/>
                <w:color w:val="000000"/>
              </w:rPr>
            </w:pPr>
          </w:p>
        </w:tc>
      </w:tr>
      <w:tr w:rsidR="004F2C59" w:rsidTr="004F2C59">
        <w:tc>
          <w:tcPr>
            <w:tcW w:w="6330" w:type="dxa"/>
            <w:gridSpan w:val="2"/>
          </w:tcPr>
          <w:p w:rsidR="004F2C59" w:rsidRDefault="004F2C59">
            <w:pPr>
              <w:keepNext/>
              <w:autoSpaceDE w:val="0"/>
              <w:autoSpaceDN w:val="0"/>
              <w:rPr>
                <w:rFonts w:ascii="Arial" w:hAnsi="Arial" w:cs="Arial"/>
                <w:b/>
                <w:bCs/>
                <w:color w:val="000000"/>
                <w:sz w:val="18"/>
                <w:szCs w:val="18"/>
              </w:rPr>
            </w:pPr>
            <w:r>
              <w:rPr>
                <w:rFonts w:ascii="Arial" w:hAnsi="Arial"/>
                <w:b/>
                <w:color w:val="000000"/>
                <w:sz w:val="18"/>
              </w:rPr>
              <w:t>Cassa Centrale Raiffeisen dell’Alto Adige S.p.A.</w:t>
            </w:r>
          </w:p>
          <w:p w:rsidR="004F2C59" w:rsidRDefault="004F2C59">
            <w:pPr>
              <w:keepNext/>
              <w:autoSpaceDE w:val="0"/>
              <w:autoSpaceDN w:val="0"/>
              <w:rPr>
                <w:rFonts w:ascii="Arial" w:hAnsi="Arial" w:cs="Arial"/>
                <w:color w:val="000000"/>
                <w:sz w:val="18"/>
                <w:szCs w:val="18"/>
              </w:rPr>
            </w:pPr>
            <w:r>
              <w:rPr>
                <w:rFonts w:ascii="Arial" w:hAnsi="Arial"/>
                <w:color w:val="000000"/>
                <w:sz w:val="18"/>
              </w:rPr>
              <w:t>I-39100 Bolzano (BZ), Via Laurin 1</w:t>
            </w:r>
          </w:p>
          <w:p w:rsidR="004F2C59" w:rsidRPr="00CF756B" w:rsidRDefault="004F2C59">
            <w:pPr>
              <w:keepNext/>
              <w:autoSpaceDE w:val="0"/>
              <w:autoSpaceDN w:val="0"/>
              <w:rPr>
                <w:rFonts w:ascii="Arial" w:hAnsi="Arial" w:cs="Arial"/>
                <w:color w:val="000000"/>
                <w:sz w:val="18"/>
                <w:szCs w:val="18"/>
                <w:lang w:val="de-DE"/>
              </w:rPr>
            </w:pPr>
            <w:r w:rsidRPr="00CF756B">
              <w:rPr>
                <w:rFonts w:ascii="Arial" w:hAnsi="Arial"/>
                <w:color w:val="000000"/>
                <w:sz w:val="18"/>
                <w:lang w:val="de-DE"/>
              </w:rPr>
              <w:t>T +39 0471 94 65 11 - F +39 0471 97 43 53</w:t>
            </w:r>
          </w:p>
          <w:p w:rsidR="004F2C59" w:rsidRPr="00CF756B" w:rsidRDefault="004F2C59">
            <w:pPr>
              <w:keepNext/>
              <w:autoSpaceDE w:val="0"/>
              <w:autoSpaceDN w:val="0"/>
              <w:rPr>
                <w:rFonts w:ascii="Arial" w:hAnsi="Arial" w:cs="Arial"/>
                <w:color w:val="000000"/>
                <w:sz w:val="18"/>
                <w:szCs w:val="18"/>
                <w:u w:val="single"/>
                <w:lang w:val="de-DE"/>
              </w:rPr>
            </w:pPr>
            <w:r w:rsidRPr="00CF756B">
              <w:rPr>
                <w:rFonts w:ascii="Arial" w:hAnsi="Arial"/>
                <w:color w:val="000000"/>
                <w:sz w:val="18"/>
                <w:u w:val="single"/>
                <w:lang w:val="de-DE"/>
              </w:rPr>
              <w:t>www.raiffeisen.it/it/cassa-centrale.html</w:t>
            </w:r>
          </w:p>
          <w:p w:rsidR="004F2C59" w:rsidRDefault="000C0D8F">
            <w:pPr>
              <w:keepNext/>
              <w:autoSpaceDE w:val="0"/>
              <w:autoSpaceDN w:val="0"/>
              <w:rPr>
                <w:rFonts w:ascii="Calibri" w:hAnsi="Calibri" w:cs="Calibri"/>
                <w:color w:val="0563C1"/>
                <w:sz w:val="22"/>
                <w:szCs w:val="22"/>
                <w:u w:val="single"/>
              </w:rPr>
            </w:pPr>
            <w:hyperlink r:id="rId17" w:history="1">
              <w:r w:rsidR="005511E3">
                <w:rPr>
                  <w:rStyle w:val="Hyperlink"/>
                  <w:rFonts w:ascii="Helv" w:hAnsi="Helv"/>
                  <w:sz w:val="18"/>
                </w:rPr>
                <w:t>E-Mail-Disclaimer</w:t>
              </w:r>
            </w:hyperlink>
          </w:p>
          <w:p w:rsidR="004F2C59" w:rsidRDefault="004F2C59">
            <w:pPr>
              <w:keepNext/>
              <w:autoSpaceDE w:val="0"/>
              <w:autoSpaceDN w:val="0"/>
              <w:rPr>
                <w:color w:val="000000"/>
              </w:rPr>
            </w:pPr>
          </w:p>
        </w:tc>
        <w:tc>
          <w:tcPr>
            <w:tcW w:w="4200" w:type="dxa"/>
          </w:tcPr>
          <w:p w:rsidR="004F2C59" w:rsidRDefault="004F2C59">
            <w:pPr>
              <w:keepNext/>
              <w:autoSpaceDE w:val="0"/>
              <w:autoSpaceDN w:val="0"/>
              <w:rPr>
                <w:rFonts w:ascii="Arial" w:hAnsi="Arial" w:cs="Arial"/>
                <w:color w:val="000000"/>
                <w:sz w:val="18"/>
                <w:szCs w:val="18"/>
                <w:u w:val="single"/>
              </w:rPr>
            </w:pPr>
          </w:p>
        </w:tc>
      </w:tr>
      <w:tr w:rsidR="004F2C59" w:rsidTr="004F2C59">
        <w:tc>
          <w:tcPr>
            <w:tcW w:w="1065" w:type="dxa"/>
            <w:vAlign w:val="center"/>
            <w:hideMark/>
          </w:tcPr>
          <w:p w:rsidR="004F2C59" w:rsidRDefault="004F2C59">
            <w:pPr>
              <w:rPr>
                <w:rFonts w:ascii="Arial" w:hAnsi="Arial" w:cs="Arial"/>
                <w:color w:val="000000"/>
                <w:sz w:val="18"/>
                <w:szCs w:val="18"/>
                <w:u w:val="single"/>
              </w:rPr>
            </w:pPr>
          </w:p>
        </w:tc>
        <w:tc>
          <w:tcPr>
            <w:tcW w:w="5265" w:type="dxa"/>
            <w:vAlign w:val="center"/>
            <w:hideMark/>
          </w:tcPr>
          <w:p w:rsidR="004F2C59" w:rsidRDefault="004F2C59"/>
        </w:tc>
        <w:tc>
          <w:tcPr>
            <w:tcW w:w="4200" w:type="dxa"/>
            <w:vAlign w:val="center"/>
            <w:hideMark/>
          </w:tcPr>
          <w:p w:rsidR="004F2C59" w:rsidRDefault="004F2C59"/>
        </w:tc>
      </w:tr>
    </w:tbl>
    <w:p w:rsidR="004F2C59" w:rsidRDefault="004F2C59" w:rsidP="004F2C59">
      <w:pPr>
        <w:rPr>
          <w:rFonts w:ascii="Calibri" w:eastAsiaTheme="minorHAnsi" w:hAnsi="Calibri" w:cs="Calibri"/>
          <w:sz w:val="22"/>
          <w:szCs w:val="22"/>
        </w:rPr>
      </w:pPr>
      <w:r>
        <w:rPr>
          <w:rFonts w:ascii="Arial" w:hAnsi="Arial"/>
          <w:noProof/>
          <w:color w:val="000000"/>
          <w:sz w:val="18"/>
        </w:rPr>
        <w:drawing>
          <wp:inline distT="0" distB="0" distL="0" distR="0">
            <wp:extent cx="184150" cy="171450"/>
            <wp:effectExtent l="0" t="0" r="6350" b="0"/>
            <wp:docPr id="5" name="Grafik 5" descr="cid:image004.gif@01D8DCCB.D1B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id:image004.gif@01D8DCCB.D1BD10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rPr>
          <w:rFonts w:ascii="Arial" w:hAnsi="Arial"/>
          <w:color w:val="000000"/>
        </w:rPr>
        <w:t> </w:t>
      </w:r>
      <w:r>
        <w:rPr>
          <w:rFonts w:ascii="Arial" w:hAnsi="Arial"/>
          <w:i/>
          <w:color w:val="3F803F"/>
        </w:rPr>
        <w:t xml:space="preserve">Pensa prima di stampare / </w:t>
      </w:r>
      <w:r>
        <w:rPr>
          <w:noProof/>
        </w:rPr>
        <w:drawing>
          <wp:inline distT="0" distB="0" distL="0" distR="0">
            <wp:extent cx="184150" cy="171450"/>
            <wp:effectExtent l="0" t="0" r="6350" b="0"/>
            <wp:docPr id="4" name="Grafik 4" descr="cid:image005.gif@01D8DCCB.D1B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id:image005.gif@01D8DCCB.D1BD10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rPr>
          <w:rFonts w:ascii="Arial" w:hAnsi="Arial"/>
          <w:i/>
          <w:color w:val="3F803F"/>
        </w:rPr>
        <w:t> </w:t>
      </w:r>
      <w:r>
        <w:rPr>
          <w:rFonts w:ascii="Arial" w:hAnsi="Arial"/>
          <w:i/>
          <w:color w:val="000000"/>
        </w:rPr>
        <w:t> </w:t>
      </w:r>
      <w:r>
        <w:rPr>
          <w:rFonts w:ascii="Arial" w:hAnsi="Arial"/>
          <w:i/>
          <w:color w:val="3F803F"/>
        </w:rPr>
        <w:t>Think before you print</w:t>
      </w:r>
    </w:p>
    <w:bookmarkEnd w:id="0"/>
    <w:p w:rsidR="004F2C59" w:rsidRDefault="004F2C59" w:rsidP="004F2C59">
      <w:pPr>
        <w:rPr>
          <w:lang w:eastAsia="en-US"/>
        </w:rPr>
      </w:pPr>
    </w:p>
    <w:p w:rsidR="005469EB" w:rsidRPr="004F2C59" w:rsidRDefault="005469EB" w:rsidP="004F2C59"/>
    <w:sectPr w:rsidR="005469EB" w:rsidRPr="004F2C59" w:rsidSect="004447DA">
      <w:headerReference w:type="even" r:id="rId22"/>
      <w:footerReference w:type="even" r:id="rId23"/>
      <w:footerReference w:type="default" r:id="rId24"/>
      <w:footerReference w:type="first" r:id="rId25"/>
      <w:type w:val="evenPage"/>
      <w:pgSz w:w="11907" w:h="16840" w:code="9"/>
      <w:pgMar w:top="1644" w:right="1134" w:bottom="170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90" w:rsidRDefault="00FF0A90">
      <w:r>
        <w:separator/>
      </w:r>
    </w:p>
  </w:endnote>
  <w:endnote w:type="continuationSeparator" w:id="0">
    <w:p w:rsidR="00FF0A90" w:rsidRDefault="00F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F6473A">
    <w:pPr>
      <w:pStyle w:val="Kopfzeile"/>
      <w:jc w:val="both"/>
      <w:rPr>
        <w:rFonts w:ascii="Stone Serif" w:hAnsi="Stone Serif"/>
        <w:sz w:val="15"/>
      </w:rPr>
    </w:pPr>
  </w:p>
  <w:p w:rsidR="00F6473A" w:rsidRDefault="00F6473A">
    <w:pPr>
      <w:pStyle w:val="Kopfzeile"/>
      <w:jc w:val="both"/>
      <w:rPr>
        <w:rFonts w:ascii="Stone Serif" w:hAnsi="Stone Serif"/>
        <w:sz w:val="15"/>
      </w:rPr>
    </w:pPr>
  </w:p>
  <w:p w:rsidR="00F6473A" w:rsidRDefault="00F6473A">
    <w:pPr>
      <w:pStyle w:val="Kopfzeile"/>
      <w:jc w:val="both"/>
      <w:rPr>
        <w:sz w:val="14"/>
      </w:rPr>
    </w:pPr>
    <w:r>
      <w:rPr>
        <w:rFonts w:ascii="Stone Serif" w:hAnsi="Stone Serif"/>
        <w:sz w:val="15"/>
      </w:rPr>
      <w:t>Capitale Sociale int. vers. 250.000.000,00 Euro</w:t>
    </w:r>
    <w:r>
      <w:rPr>
        <w:rFonts w:ascii="Stone Serif" w:hAnsi="Stone Serif"/>
        <w:sz w:val="14"/>
      </w:rPr>
      <w:t xml:space="preserve"> - N. ABI/CAB 3493 11600 - N.C.C.I.A.A. BZ 74311- Cod. Fisc., Part. IVA e N. Registro Imprese Bolzano 00194450219 - SWIFT-Code RZSB IT 2B. </w:t>
    </w:r>
    <w:r>
      <w:rPr>
        <w:rFonts w:ascii="Stone Serif" w:hAnsi="Stone Serif"/>
        <w:i/>
        <w:sz w:val="14"/>
      </w:rPr>
      <w:t>Banca aderente al fondo di Garanzia dei Depositanti del Credito Cooperativo e al Fondo Nazionale di Garanzia di cui all’art. 62 del d. lgs. N. 415/96.</w:t>
    </w:r>
  </w:p>
  <w:p w:rsidR="00F6473A" w:rsidRDefault="00F647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jc w:val="both"/>
      <w:rPr>
        <w:rFonts w:ascii="Stone Serif" w:hAnsi="Stone Serif"/>
        <w:sz w:val="15"/>
      </w:rPr>
    </w:pPr>
    <w:r>
      <w:rPr>
        <w:noProof/>
      </w:rPr>
      <w:drawing>
        <wp:anchor distT="0" distB="0" distL="114300" distR="114300" simplePos="0" relativeHeight="251658752" behindDoc="0" locked="0" layoutInCell="1" allowOverlap="1" wp14:anchorId="17CDCDED" wp14:editId="4D61A928">
          <wp:simplePos x="0" y="0"/>
          <wp:positionH relativeFrom="column">
            <wp:posOffset>65405</wp:posOffset>
          </wp:positionH>
          <wp:positionV relativeFrom="paragraph">
            <wp:posOffset>-247015</wp:posOffset>
          </wp:positionV>
          <wp:extent cx="6381115" cy="605790"/>
          <wp:effectExtent l="0" t="0" r="0" b="0"/>
          <wp:wrapTight wrapText="bothSides">
            <wp:wrapPolygon edited="0">
              <wp:start x="0" y="0"/>
              <wp:lineTo x="0" y="21057"/>
              <wp:lineTo x="21538" y="21057"/>
              <wp:lineTo x="21538" y="0"/>
              <wp:lineTo x="0" y="0"/>
            </wp:wrapPolygon>
          </wp:wrapTight>
          <wp:docPr id="9" name="Bild 9" descr="Fusszeile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szeile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11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3A" w:rsidRDefault="00F6473A">
    <w:pPr>
      <w:pStyle w:val="Kopfzeile"/>
      <w:jc w:val="both"/>
      <w:rPr>
        <w:rFonts w:ascii="Stone Serif" w:hAnsi="Stone Serif"/>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jc w:val="both"/>
      <w:rPr>
        <w:rFonts w:ascii="Stone Serif" w:hAnsi="Stone Serif"/>
        <w:sz w:val="15"/>
      </w:rPr>
    </w:pPr>
    <w:r>
      <w:rPr>
        <w:noProof/>
      </w:rPr>
      <w:drawing>
        <wp:anchor distT="0" distB="0" distL="114300" distR="114300" simplePos="0" relativeHeight="251657728" behindDoc="0" locked="0" layoutInCell="1" allowOverlap="1" wp14:anchorId="51AE8266" wp14:editId="2ECD522E">
          <wp:simplePos x="0" y="0"/>
          <wp:positionH relativeFrom="column">
            <wp:posOffset>522605</wp:posOffset>
          </wp:positionH>
          <wp:positionV relativeFrom="paragraph">
            <wp:posOffset>-259715</wp:posOffset>
          </wp:positionV>
          <wp:extent cx="5932805" cy="563245"/>
          <wp:effectExtent l="0" t="0" r="0" b="0"/>
          <wp:wrapTight wrapText="bothSides">
            <wp:wrapPolygon edited="0">
              <wp:start x="0" y="0"/>
              <wp:lineTo x="0" y="21186"/>
              <wp:lineTo x="21501" y="21186"/>
              <wp:lineTo x="21501" y="0"/>
              <wp:lineTo x="0" y="0"/>
            </wp:wrapPolygon>
          </wp:wrapTight>
          <wp:docPr id="7" name="Bild 7" descr="Fusszeile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90" w:rsidRDefault="00FF0A90">
      <w:r>
        <w:separator/>
      </w:r>
    </w:p>
  </w:footnote>
  <w:footnote w:type="continuationSeparator" w:id="0">
    <w:p w:rsidR="00FF0A90" w:rsidRDefault="00FF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F6473A">
    <w:pPr>
      <w:pStyle w:val="Kopfzeile"/>
    </w:pPr>
  </w:p>
  <w:p w:rsidR="00F6473A" w:rsidRDefault="00F6473A">
    <w:pPr>
      <w:pStyle w:val="Kopfzeile"/>
    </w:pPr>
  </w:p>
  <w:p w:rsidR="00F6473A" w:rsidRDefault="00E82613">
    <w:pPr>
      <w:framePr w:hSpace="141" w:wrap="notBeside" w:vAnchor="text" w:hAnchor="text" w:x="-180" w:y="1"/>
      <w:rPr>
        <w:noProof/>
      </w:rPr>
    </w:pPr>
    <w:r>
      <w:rPr>
        <w:noProof/>
      </w:rPr>
      <w:drawing>
        <wp:inline distT="0" distB="0" distL="0" distR="0" wp14:anchorId="3BC5C089" wp14:editId="2C78226F">
          <wp:extent cx="3105150" cy="381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381000"/>
                  </a:xfrm>
                  <a:prstGeom prst="rect">
                    <a:avLst/>
                  </a:prstGeom>
                  <a:noFill/>
                  <a:ln>
                    <a:noFill/>
                  </a:ln>
                </pic:spPr>
              </pic:pic>
            </a:graphicData>
          </a:graphic>
        </wp:inline>
      </w:drawing>
    </w:r>
  </w:p>
  <w:p w:rsidR="00F6473A" w:rsidRDefault="00F6473A">
    <w:pPr>
      <w:framePr w:hSpace="141" w:wrap="notBeside" w:vAnchor="text" w:hAnchor="text" w:x="-180" w:y="1"/>
      <w:rPr>
        <w:noProof/>
      </w:rPr>
    </w:pPr>
  </w:p>
  <w:p w:rsidR="00F6473A" w:rsidRDefault="00F6473A">
    <w:pPr>
      <w:framePr w:hSpace="141" w:wrap="notBeside" w:vAnchor="text" w:hAnchor="text" w:x="-180" w:y="1"/>
      <w:rPr>
        <w:noProof/>
      </w:rPr>
    </w:pPr>
  </w:p>
  <w:p w:rsidR="00F6473A" w:rsidRDefault="00F647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24"/>
    <w:rsid w:val="00003C0B"/>
    <w:rsid w:val="00005413"/>
    <w:rsid w:val="000246B8"/>
    <w:rsid w:val="00047117"/>
    <w:rsid w:val="00053AB0"/>
    <w:rsid w:val="0007146B"/>
    <w:rsid w:val="00086506"/>
    <w:rsid w:val="00094F85"/>
    <w:rsid w:val="000A63C8"/>
    <w:rsid w:val="000B0C75"/>
    <w:rsid w:val="000B3913"/>
    <w:rsid w:val="000B5E00"/>
    <w:rsid w:val="000C08F7"/>
    <w:rsid w:val="000C0D8F"/>
    <w:rsid w:val="000C647F"/>
    <w:rsid w:val="000C7D43"/>
    <w:rsid w:val="001220C9"/>
    <w:rsid w:val="00124664"/>
    <w:rsid w:val="00134AD6"/>
    <w:rsid w:val="001426E4"/>
    <w:rsid w:val="00154444"/>
    <w:rsid w:val="00160790"/>
    <w:rsid w:val="00161C99"/>
    <w:rsid w:val="001814C5"/>
    <w:rsid w:val="001926BA"/>
    <w:rsid w:val="001961EB"/>
    <w:rsid w:val="001A13D2"/>
    <w:rsid w:val="001A3911"/>
    <w:rsid w:val="001B0988"/>
    <w:rsid w:val="00244724"/>
    <w:rsid w:val="00247B38"/>
    <w:rsid w:val="00251A49"/>
    <w:rsid w:val="0025358C"/>
    <w:rsid w:val="00264646"/>
    <w:rsid w:val="002A27C3"/>
    <w:rsid w:val="002F0495"/>
    <w:rsid w:val="003055A1"/>
    <w:rsid w:val="0030598B"/>
    <w:rsid w:val="00306C69"/>
    <w:rsid w:val="00310F03"/>
    <w:rsid w:val="00331741"/>
    <w:rsid w:val="00334B5F"/>
    <w:rsid w:val="00337739"/>
    <w:rsid w:val="003537F5"/>
    <w:rsid w:val="0038651D"/>
    <w:rsid w:val="003931B7"/>
    <w:rsid w:val="00396FCC"/>
    <w:rsid w:val="003A088A"/>
    <w:rsid w:val="003A2400"/>
    <w:rsid w:val="003B3D80"/>
    <w:rsid w:val="003C1043"/>
    <w:rsid w:val="003C6342"/>
    <w:rsid w:val="003C6504"/>
    <w:rsid w:val="003D4ED6"/>
    <w:rsid w:val="003D5C1C"/>
    <w:rsid w:val="003E20D4"/>
    <w:rsid w:val="003E54CF"/>
    <w:rsid w:val="003F008F"/>
    <w:rsid w:val="003F00CF"/>
    <w:rsid w:val="003F55AB"/>
    <w:rsid w:val="003F7F1D"/>
    <w:rsid w:val="0040480B"/>
    <w:rsid w:val="00412E58"/>
    <w:rsid w:val="004156D7"/>
    <w:rsid w:val="00416765"/>
    <w:rsid w:val="00417067"/>
    <w:rsid w:val="004177D7"/>
    <w:rsid w:val="00417B84"/>
    <w:rsid w:val="00424188"/>
    <w:rsid w:val="004256F8"/>
    <w:rsid w:val="00426617"/>
    <w:rsid w:val="00432E96"/>
    <w:rsid w:val="004447DA"/>
    <w:rsid w:val="0045266A"/>
    <w:rsid w:val="0047632F"/>
    <w:rsid w:val="004774D6"/>
    <w:rsid w:val="0048234A"/>
    <w:rsid w:val="004B3F82"/>
    <w:rsid w:val="004C3EAC"/>
    <w:rsid w:val="004D503B"/>
    <w:rsid w:val="004F2C59"/>
    <w:rsid w:val="004F59F2"/>
    <w:rsid w:val="004F5B72"/>
    <w:rsid w:val="005007C1"/>
    <w:rsid w:val="0050405D"/>
    <w:rsid w:val="005107A3"/>
    <w:rsid w:val="0051433D"/>
    <w:rsid w:val="005148C6"/>
    <w:rsid w:val="005313FE"/>
    <w:rsid w:val="00532148"/>
    <w:rsid w:val="00533A8E"/>
    <w:rsid w:val="005469EB"/>
    <w:rsid w:val="005511E3"/>
    <w:rsid w:val="00575110"/>
    <w:rsid w:val="005834B2"/>
    <w:rsid w:val="005907E1"/>
    <w:rsid w:val="005A3244"/>
    <w:rsid w:val="005C3D3C"/>
    <w:rsid w:val="005C6159"/>
    <w:rsid w:val="005C76C8"/>
    <w:rsid w:val="005E2913"/>
    <w:rsid w:val="005F2182"/>
    <w:rsid w:val="006059D5"/>
    <w:rsid w:val="00605FFC"/>
    <w:rsid w:val="006247DF"/>
    <w:rsid w:val="00661454"/>
    <w:rsid w:val="00661F39"/>
    <w:rsid w:val="00670AE9"/>
    <w:rsid w:val="00671A16"/>
    <w:rsid w:val="006A6137"/>
    <w:rsid w:val="006B6948"/>
    <w:rsid w:val="006C15A4"/>
    <w:rsid w:val="006C4943"/>
    <w:rsid w:val="006F2C6A"/>
    <w:rsid w:val="00722E6B"/>
    <w:rsid w:val="00736CC4"/>
    <w:rsid w:val="007417BA"/>
    <w:rsid w:val="00755F85"/>
    <w:rsid w:val="00761FD1"/>
    <w:rsid w:val="00763BEB"/>
    <w:rsid w:val="00776BFC"/>
    <w:rsid w:val="007A0004"/>
    <w:rsid w:val="007A22B6"/>
    <w:rsid w:val="007A7CF0"/>
    <w:rsid w:val="007B10AB"/>
    <w:rsid w:val="007B1C9E"/>
    <w:rsid w:val="007B2B47"/>
    <w:rsid w:val="007E39FD"/>
    <w:rsid w:val="007F494C"/>
    <w:rsid w:val="008017DD"/>
    <w:rsid w:val="00804C86"/>
    <w:rsid w:val="00810AE4"/>
    <w:rsid w:val="00812F3A"/>
    <w:rsid w:val="008144EB"/>
    <w:rsid w:val="0081541B"/>
    <w:rsid w:val="00833609"/>
    <w:rsid w:val="00851E8A"/>
    <w:rsid w:val="00861D36"/>
    <w:rsid w:val="00876DEE"/>
    <w:rsid w:val="008922AA"/>
    <w:rsid w:val="008A3DF8"/>
    <w:rsid w:val="008A5979"/>
    <w:rsid w:val="008A720A"/>
    <w:rsid w:val="008B0D39"/>
    <w:rsid w:val="008B678A"/>
    <w:rsid w:val="008C1D92"/>
    <w:rsid w:val="008D7D0B"/>
    <w:rsid w:val="008E12DD"/>
    <w:rsid w:val="008E228D"/>
    <w:rsid w:val="008E2567"/>
    <w:rsid w:val="008E6623"/>
    <w:rsid w:val="00910F82"/>
    <w:rsid w:val="00944BFA"/>
    <w:rsid w:val="00954781"/>
    <w:rsid w:val="00977240"/>
    <w:rsid w:val="00985480"/>
    <w:rsid w:val="009A40BF"/>
    <w:rsid w:val="009B19A3"/>
    <w:rsid w:val="009B2C9B"/>
    <w:rsid w:val="009B5027"/>
    <w:rsid w:val="009B7FF1"/>
    <w:rsid w:val="009D3222"/>
    <w:rsid w:val="009D53CB"/>
    <w:rsid w:val="009F3463"/>
    <w:rsid w:val="009F487C"/>
    <w:rsid w:val="00A04660"/>
    <w:rsid w:val="00A16A19"/>
    <w:rsid w:val="00A20AFE"/>
    <w:rsid w:val="00A376BE"/>
    <w:rsid w:val="00A541C7"/>
    <w:rsid w:val="00A54DBE"/>
    <w:rsid w:val="00A60D57"/>
    <w:rsid w:val="00A63D99"/>
    <w:rsid w:val="00A76BD7"/>
    <w:rsid w:val="00A81878"/>
    <w:rsid w:val="00A87477"/>
    <w:rsid w:val="00A97B61"/>
    <w:rsid w:val="00AA008E"/>
    <w:rsid w:val="00AA6CE8"/>
    <w:rsid w:val="00AB2D5A"/>
    <w:rsid w:val="00AE5186"/>
    <w:rsid w:val="00AE6A56"/>
    <w:rsid w:val="00B00A71"/>
    <w:rsid w:val="00B12E44"/>
    <w:rsid w:val="00B26C26"/>
    <w:rsid w:val="00B45555"/>
    <w:rsid w:val="00B56CD2"/>
    <w:rsid w:val="00B66680"/>
    <w:rsid w:val="00B81191"/>
    <w:rsid w:val="00B81BDF"/>
    <w:rsid w:val="00B84AB9"/>
    <w:rsid w:val="00BB0790"/>
    <w:rsid w:val="00BB6B1E"/>
    <w:rsid w:val="00BC64F0"/>
    <w:rsid w:val="00BD0F30"/>
    <w:rsid w:val="00BD1488"/>
    <w:rsid w:val="00BE1077"/>
    <w:rsid w:val="00BF1B46"/>
    <w:rsid w:val="00BF5B98"/>
    <w:rsid w:val="00BF6412"/>
    <w:rsid w:val="00C04FD3"/>
    <w:rsid w:val="00C101CB"/>
    <w:rsid w:val="00C160B8"/>
    <w:rsid w:val="00C27A6B"/>
    <w:rsid w:val="00C3798B"/>
    <w:rsid w:val="00C40A37"/>
    <w:rsid w:val="00C47342"/>
    <w:rsid w:val="00C54507"/>
    <w:rsid w:val="00C86B03"/>
    <w:rsid w:val="00C9250D"/>
    <w:rsid w:val="00C96C99"/>
    <w:rsid w:val="00CA624E"/>
    <w:rsid w:val="00CA6505"/>
    <w:rsid w:val="00CC0C19"/>
    <w:rsid w:val="00CC500C"/>
    <w:rsid w:val="00CE457C"/>
    <w:rsid w:val="00CF756B"/>
    <w:rsid w:val="00D02BDA"/>
    <w:rsid w:val="00D12C46"/>
    <w:rsid w:val="00D1403F"/>
    <w:rsid w:val="00D17738"/>
    <w:rsid w:val="00D23229"/>
    <w:rsid w:val="00D23961"/>
    <w:rsid w:val="00D57A29"/>
    <w:rsid w:val="00D643C2"/>
    <w:rsid w:val="00D679DE"/>
    <w:rsid w:val="00D848A8"/>
    <w:rsid w:val="00D86ED8"/>
    <w:rsid w:val="00D945C9"/>
    <w:rsid w:val="00DB61A5"/>
    <w:rsid w:val="00DB6A37"/>
    <w:rsid w:val="00DC6F62"/>
    <w:rsid w:val="00DC7736"/>
    <w:rsid w:val="00DC79A3"/>
    <w:rsid w:val="00DD4310"/>
    <w:rsid w:val="00DD6BD0"/>
    <w:rsid w:val="00DD6D73"/>
    <w:rsid w:val="00DF07CD"/>
    <w:rsid w:val="00DF341B"/>
    <w:rsid w:val="00DF7A8B"/>
    <w:rsid w:val="00E155AC"/>
    <w:rsid w:val="00E16594"/>
    <w:rsid w:val="00E21EEF"/>
    <w:rsid w:val="00E2578C"/>
    <w:rsid w:val="00E26C1E"/>
    <w:rsid w:val="00E4409C"/>
    <w:rsid w:val="00E55D1A"/>
    <w:rsid w:val="00E572CA"/>
    <w:rsid w:val="00E607FD"/>
    <w:rsid w:val="00E63ACE"/>
    <w:rsid w:val="00E710B5"/>
    <w:rsid w:val="00E776C7"/>
    <w:rsid w:val="00E82613"/>
    <w:rsid w:val="00E87BB9"/>
    <w:rsid w:val="00E90C21"/>
    <w:rsid w:val="00E97219"/>
    <w:rsid w:val="00E9751F"/>
    <w:rsid w:val="00EB2727"/>
    <w:rsid w:val="00ED377C"/>
    <w:rsid w:val="00EF4561"/>
    <w:rsid w:val="00F206B5"/>
    <w:rsid w:val="00F32830"/>
    <w:rsid w:val="00F45D3C"/>
    <w:rsid w:val="00F55142"/>
    <w:rsid w:val="00F6239B"/>
    <w:rsid w:val="00F63223"/>
    <w:rsid w:val="00F63B26"/>
    <w:rsid w:val="00F6473A"/>
    <w:rsid w:val="00F6781F"/>
    <w:rsid w:val="00F94712"/>
    <w:rsid w:val="00FA0B72"/>
    <w:rsid w:val="00FA0F5C"/>
    <w:rsid w:val="00FA57C4"/>
    <w:rsid w:val="00FB119E"/>
    <w:rsid w:val="00FB1B24"/>
    <w:rsid w:val="00FB2768"/>
    <w:rsid w:val="00FB3D62"/>
    <w:rsid w:val="00FC2B1E"/>
    <w:rsid w:val="00FC2C0B"/>
    <w:rsid w:val="00FC6D23"/>
    <w:rsid w:val="00FE1A83"/>
    <w:rsid w:val="00FE4994"/>
    <w:rsid w:val="00FE5A6E"/>
    <w:rsid w:val="00FF0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66FC559D"/>
  <w15:docId w15:val="{5B87B1F4-F50B-4ECA-BB22-877176EE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2">
    <w:name w:val="heading 2"/>
    <w:basedOn w:val="Standard"/>
    <w:next w:val="Standard"/>
    <w:qFormat/>
    <w:pPr>
      <w:keepNext/>
      <w:spacing w:line="220" w:lineRule="exact"/>
      <w:jc w:val="both"/>
      <w:outlineLvl w:val="1"/>
    </w:pPr>
    <w:rPr>
      <w:rFonts w:ascii="Plantin" w:hAnsi="Plantin"/>
      <w:b/>
      <w:color w:val="008028"/>
      <w:sz w:val="22"/>
    </w:rPr>
  </w:style>
  <w:style w:type="paragraph" w:styleId="berschrift3">
    <w:name w:val="heading 3"/>
    <w:basedOn w:val="Standard"/>
    <w:next w:val="Standard"/>
    <w:qFormat/>
    <w:rsid w:val="0012466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Textkrper">
    <w:name w:val="Body Text"/>
    <w:basedOn w:val="Standard"/>
    <w:pPr>
      <w:framePr w:w="4060" w:h="1588" w:wrap="auto" w:vAnchor="page" w:hAnchor="page" w:x="1441" w:y="2737" w:anchorLock="1"/>
    </w:pPr>
    <w:rPr>
      <w:rFonts w:ascii="Stone Serif" w:hAnsi="Stone Serif"/>
      <w:sz w:val="16"/>
    </w:rPr>
  </w:style>
  <w:style w:type="paragraph" w:customStyle="1" w:styleId="Textkrper21">
    <w:name w:val="Textkörper 21"/>
    <w:basedOn w:val="Standard"/>
    <w:rPr>
      <w:rFonts w:ascii="Stone Serif" w:hAnsi="Stone Serif"/>
      <w:i/>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suchterHyperlink2">
    <w:name w:val="BesuchterHyperlink2"/>
    <w:rPr>
      <w:color w:val="800080"/>
      <w:u w:val="single"/>
    </w:rPr>
  </w:style>
  <w:style w:type="character" w:customStyle="1" w:styleId="BesuchterHyperlink3">
    <w:name w:val="BesuchterHyperlink3"/>
    <w:rPr>
      <w:color w:val="800080"/>
      <w:u w:val="single"/>
    </w:rPr>
  </w:style>
  <w:style w:type="paragraph" w:styleId="Textkrper2">
    <w:name w:val="Body Text 2"/>
    <w:basedOn w:val="Standard"/>
    <w:rPr>
      <w:rFonts w:ascii="Arial" w:hAnsi="Arial" w:cs="Arial"/>
      <w:b/>
      <w:bCs/>
    </w:rPr>
  </w:style>
  <w:style w:type="character" w:styleId="BesuchterLink">
    <w:name w:val="FollowedHyperlink"/>
    <w:rPr>
      <w:color w:val="800080"/>
      <w:u w:val="single"/>
    </w:rPr>
  </w:style>
  <w:style w:type="paragraph" w:styleId="Textkrper3">
    <w:name w:val="Body Text 3"/>
    <w:basedOn w:val="Standard"/>
    <w:pPr>
      <w:jc w:val="both"/>
    </w:pPr>
    <w:rPr>
      <w:rFonts w:ascii="Arial" w:hAnsi="Arial" w:cs="Arial"/>
    </w:rPr>
  </w:style>
  <w:style w:type="paragraph" w:styleId="Sprechblasentext">
    <w:name w:val="Balloon Text"/>
    <w:basedOn w:val="Standard"/>
    <w:link w:val="SprechblasentextZchn"/>
    <w:rsid w:val="00E82613"/>
    <w:rPr>
      <w:rFonts w:ascii="Tahoma" w:hAnsi="Tahoma" w:cs="Tahoma"/>
      <w:sz w:val="16"/>
      <w:szCs w:val="16"/>
    </w:rPr>
  </w:style>
  <w:style w:type="character" w:customStyle="1" w:styleId="SprechblasentextZchn">
    <w:name w:val="Sprechblasentext Zchn"/>
    <w:basedOn w:val="Absatz-Standardschriftart"/>
    <w:link w:val="Sprechblasentext"/>
    <w:rsid w:val="00E82613"/>
    <w:rPr>
      <w:rFonts w:ascii="Tahoma" w:hAnsi="Tahoma" w:cs="Tahoma"/>
      <w:sz w:val="16"/>
      <w:szCs w:val="16"/>
    </w:rPr>
  </w:style>
  <w:style w:type="paragraph" w:customStyle="1" w:styleId="bodytext">
    <w:name w:val="bodytext"/>
    <w:basedOn w:val="Standard"/>
    <w:rsid w:val="00CC500C"/>
    <w:pPr>
      <w:spacing w:before="100" w:beforeAutospacing="1" w:after="150"/>
    </w:pPr>
    <w:rPr>
      <w:sz w:val="24"/>
      <w:szCs w:val="24"/>
    </w:rPr>
  </w:style>
  <w:style w:type="paragraph" w:styleId="Listenabsatz">
    <w:name w:val="List Paragraph"/>
    <w:basedOn w:val="Standard"/>
    <w:uiPriority w:val="34"/>
    <w:qFormat/>
    <w:rsid w:val="00605FFC"/>
    <w:pPr>
      <w:ind w:left="720"/>
      <w:contextualSpacing/>
    </w:pPr>
  </w:style>
  <w:style w:type="character" w:styleId="NichtaufgelsteErwhnung">
    <w:name w:val="Unresolved Mention"/>
    <w:basedOn w:val="Absatz-Standardschriftart"/>
    <w:uiPriority w:val="99"/>
    <w:semiHidden/>
    <w:unhideWhenUsed/>
    <w:rsid w:val="008E6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6355">
      <w:bodyDiv w:val="1"/>
      <w:marLeft w:val="0"/>
      <w:marRight w:val="0"/>
      <w:marTop w:val="0"/>
      <w:marBottom w:val="0"/>
      <w:divBdr>
        <w:top w:val="none" w:sz="0" w:space="0" w:color="auto"/>
        <w:left w:val="none" w:sz="0" w:space="0" w:color="auto"/>
        <w:bottom w:val="none" w:sz="0" w:space="0" w:color="auto"/>
        <w:right w:val="none" w:sz="0" w:space="0" w:color="auto"/>
      </w:divBdr>
    </w:div>
    <w:div w:id="21173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cid:image005.gif@01D8DCCB.D1BD1010" TargetMode="External"/><Relationship Id="rId7" Type="http://schemas.openxmlformats.org/officeDocument/2006/relationships/image" Target="cid:image010.jpg@01D8DCCD.96A8A230" TargetMode="External"/><Relationship Id="rId12" Type="http://schemas.openxmlformats.org/officeDocument/2006/relationships/image" Target="cid:image001.png@01D8DCCB.D1BD1010" TargetMode="External"/><Relationship Id="rId17" Type="http://schemas.openxmlformats.org/officeDocument/2006/relationships/hyperlink" Target="https://www.raiffeisen.it/landesbank/meine-bank/ueber-uns/e-mail-disclaimer.html"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cid:image003.gif@01D8DCCB.D1BD1010" TargetMode="External"/><Relationship Id="rId20"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footer" Target="footer1.xml"/><Relationship Id="rId10" Type="http://schemas.openxmlformats.org/officeDocument/2006/relationships/hyperlink" Target="http://www.raiffeisen.it" TargetMode="External"/><Relationship Id="rId19" Type="http://schemas.openxmlformats.org/officeDocument/2006/relationships/image" Target="cid:image004.gif@01D8DCCB.D1BD1010" TargetMode="External"/><Relationship Id="rId4" Type="http://schemas.openxmlformats.org/officeDocument/2006/relationships/footnotes" Target="footnotes.xml"/><Relationship Id="rId9" Type="http://schemas.openxmlformats.org/officeDocument/2006/relationships/image" Target="cid:image011.jpg@01D8DCCD.96A8A230" TargetMode="External"/><Relationship Id="rId14" Type="http://schemas.openxmlformats.org/officeDocument/2006/relationships/image" Target="cid:image002.png@01D8DCCB.D1BD1010"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HERH\Anwendungsdaten\Microsoft\Vorlagen\BriGD-z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BriGD-zw</Template>
  <TotalTime>0</TotalTime>
  <Pages>2</Pages>
  <Words>693</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Raiffeisen Landesbank Südtirol AG</vt:lpstr>
    </vt:vector>
  </TitlesOfParts>
  <Company>Raiffeisen Landesbank Südtirol AG</Company>
  <LinksUpToDate>false</LinksUpToDate>
  <CharactersWithSpaces>5400</CharactersWithSpaces>
  <SharedDoc>false</SharedDoc>
  <HLinks>
    <vt:vector size="6" baseType="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Südtirol AG</dc:title>
  <dc:subject>Vorlage für Brief zweisprachig mit Folgeblatt</dc:subject>
  <dc:creator>Helmut Hertscheg</dc:creator>
  <cp:lastModifiedBy>Christa Ratschiller</cp:lastModifiedBy>
  <cp:revision>10</cp:revision>
  <cp:lastPrinted>2022-09-30T10:19:00Z</cp:lastPrinted>
  <dcterms:created xsi:type="dcterms:W3CDTF">2022-11-30T15:59:00Z</dcterms:created>
  <dcterms:modified xsi:type="dcterms:W3CDTF">2022-12-02T16:30:00Z</dcterms:modified>
</cp:coreProperties>
</file>