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63" w:rsidRPr="00576F07" w:rsidRDefault="00906603" w:rsidP="00BE5B63">
      <w:pPr>
        <w:autoSpaceDE w:val="0"/>
        <w:autoSpaceDN w:val="0"/>
        <w:adjustRightInd w:val="0"/>
        <w:spacing w:line="240" w:lineRule="atLeast"/>
        <w:ind w:left="23"/>
        <w:jc w:val="right"/>
        <w:rPr>
          <w:rFonts w:ascii="Arial" w:hAnsi="Arial" w:cs="Arial"/>
          <w:color w:val="000000"/>
          <w:lang w:val="it-IT"/>
        </w:rPr>
      </w:pPr>
      <w:r>
        <w:rPr>
          <w:rFonts w:ascii="Arial" w:hAnsi="Arial" w:cs="Arial"/>
          <w:noProof/>
          <w:color w:val="000000"/>
        </w:rPr>
        <w:drawing>
          <wp:inline distT="0" distB="0" distL="0" distR="0">
            <wp:extent cx="3019425" cy="600075"/>
            <wp:effectExtent l="0" t="0" r="9525" b="9525"/>
            <wp:docPr id="1" name="Bild 1" descr="RLB-4c grün 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4c grün d-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600075"/>
                    </a:xfrm>
                    <a:prstGeom prst="rect">
                      <a:avLst/>
                    </a:prstGeom>
                    <a:noFill/>
                    <a:ln>
                      <a:noFill/>
                    </a:ln>
                  </pic:spPr>
                </pic:pic>
              </a:graphicData>
            </a:graphic>
          </wp:inline>
        </w:drawing>
      </w:r>
    </w:p>
    <w:p w:rsidR="007B6911" w:rsidRPr="00576F07" w:rsidRDefault="007B6911">
      <w:pPr>
        <w:jc w:val="center"/>
        <w:rPr>
          <w:rFonts w:ascii="Arial" w:hAnsi="Arial" w:cs="Arial"/>
          <w:color w:val="000000"/>
        </w:rPr>
      </w:pPr>
    </w:p>
    <w:p w:rsidR="007B6911" w:rsidRDefault="007B6911" w:rsidP="00124759">
      <w:pPr>
        <w:jc w:val="center"/>
        <w:rPr>
          <w:rFonts w:ascii="Arial" w:hAnsi="Arial" w:cs="Arial"/>
          <w:b/>
          <w:bCs/>
          <w:lang w:val="it-IT"/>
        </w:rPr>
      </w:pPr>
    </w:p>
    <w:p w:rsidR="001806AB" w:rsidRPr="00124759" w:rsidRDefault="001806AB" w:rsidP="00124759">
      <w:pPr>
        <w:jc w:val="center"/>
        <w:rPr>
          <w:rFonts w:ascii="Arial" w:hAnsi="Arial" w:cs="Arial"/>
          <w:b/>
          <w:bCs/>
          <w:lang w:val="it-IT"/>
        </w:rPr>
      </w:pPr>
    </w:p>
    <w:p w:rsidR="0052263B" w:rsidRPr="00124759" w:rsidRDefault="0052263B" w:rsidP="0052263B">
      <w:pPr>
        <w:jc w:val="center"/>
        <w:rPr>
          <w:rFonts w:ascii="Arial" w:hAnsi="Arial" w:cs="Arial"/>
          <w:b/>
          <w:bCs/>
          <w:lang w:val="it-IT"/>
        </w:rPr>
      </w:pPr>
    </w:p>
    <w:p w:rsidR="0052263B" w:rsidRDefault="0052263B" w:rsidP="0052263B">
      <w:pPr>
        <w:pStyle w:val="berschrift3"/>
        <w:overflowPunct/>
        <w:autoSpaceDE/>
        <w:autoSpaceDN/>
        <w:adjustRightInd/>
        <w:textAlignment w:val="auto"/>
        <w:rPr>
          <w:rFonts w:cs="Arial"/>
          <w:bCs/>
          <w:color w:val="000000"/>
          <w:sz w:val="24"/>
          <w:szCs w:val="24"/>
          <w:lang w:val="it"/>
        </w:rPr>
      </w:pPr>
      <w:r>
        <w:rPr>
          <w:rFonts w:cs="Arial"/>
          <w:bCs/>
          <w:color w:val="000000"/>
          <w:sz w:val="24"/>
          <w:szCs w:val="24"/>
          <w:lang w:val="it"/>
        </w:rPr>
        <w:t xml:space="preserve">Assemblea dei soci della Cassa Centrale </w:t>
      </w:r>
      <w:r w:rsidRPr="00CD5339">
        <w:rPr>
          <w:rFonts w:cs="Arial"/>
          <w:bCs/>
          <w:color w:val="000000"/>
          <w:sz w:val="24"/>
          <w:szCs w:val="24"/>
          <w:lang w:val="it"/>
        </w:rPr>
        <w:t xml:space="preserve">Raiffeisen </w:t>
      </w:r>
      <w:proofErr w:type="gramStart"/>
      <w:r w:rsidRPr="00CD5339">
        <w:rPr>
          <w:rFonts w:cs="Arial"/>
          <w:bCs/>
          <w:color w:val="000000"/>
          <w:sz w:val="24"/>
          <w:szCs w:val="24"/>
          <w:lang w:val="it"/>
        </w:rPr>
        <w:t>dell’</w:t>
      </w:r>
      <w:proofErr w:type="gramEnd"/>
      <w:r w:rsidRPr="00CD5339">
        <w:rPr>
          <w:rFonts w:cs="Arial"/>
          <w:bCs/>
          <w:color w:val="000000"/>
          <w:sz w:val="24"/>
          <w:szCs w:val="24"/>
          <w:lang w:val="it"/>
        </w:rPr>
        <w:t>Alto Adige S.p.A.</w:t>
      </w:r>
    </w:p>
    <w:p w:rsidR="0052263B" w:rsidRPr="00746D37" w:rsidRDefault="0052263B" w:rsidP="0052263B">
      <w:pPr>
        <w:rPr>
          <w:lang w:val="it"/>
        </w:rPr>
      </w:pPr>
    </w:p>
    <w:p w:rsidR="00701C1A" w:rsidRPr="00701C1A" w:rsidRDefault="00701C1A" w:rsidP="00701C1A">
      <w:pPr>
        <w:rPr>
          <w:rFonts w:ascii="Arial" w:hAnsi="Arial" w:cs="Arial"/>
          <w:b/>
          <w:bCs/>
          <w:color w:val="000000"/>
          <w:sz w:val="26"/>
          <w:szCs w:val="20"/>
          <w:lang w:val="it"/>
        </w:rPr>
      </w:pPr>
      <w:r w:rsidRPr="00701C1A">
        <w:rPr>
          <w:rFonts w:ascii="Arial" w:hAnsi="Arial" w:cs="Arial"/>
          <w:b/>
          <w:bCs/>
          <w:color w:val="000000"/>
          <w:sz w:val="26"/>
          <w:szCs w:val="20"/>
          <w:lang w:val="it"/>
        </w:rPr>
        <w:t>2019: Eccellenti risultati rispetto a depositi, volume creditizio e utile netto. Ottima qualità del credito: una solida base per contribuire fortemente a costruire il futuro dell'Alto Adige. Redatta per la prima volta una relazione sulla sostenibilità.</w:t>
      </w:r>
    </w:p>
    <w:p w:rsidR="00701C1A" w:rsidRDefault="00701C1A" w:rsidP="00701C1A">
      <w:pPr>
        <w:rPr>
          <w:color w:val="000000" w:themeColor="text1"/>
        </w:rPr>
      </w:pPr>
    </w:p>
    <w:p w:rsidR="00701C1A" w:rsidRDefault="00701C1A" w:rsidP="00701C1A">
      <w:pPr>
        <w:rPr>
          <w:color w:val="000000" w:themeColor="text1"/>
        </w:rPr>
      </w:pPr>
    </w:p>
    <w:p w:rsidR="00701C1A" w:rsidRDefault="00701C1A" w:rsidP="00701C1A">
      <w:pPr>
        <w:rPr>
          <w:rFonts w:ascii="Arial" w:hAnsi="Arial" w:cs="Arial"/>
          <w:b/>
          <w:color w:val="000000" w:themeColor="text1"/>
        </w:rPr>
      </w:pPr>
      <w:r>
        <w:rPr>
          <w:rFonts w:ascii="Arial" w:hAnsi="Arial" w:cs="Arial"/>
          <w:b/>
          <w:color w:val="000000" w:themeColor="text1"/>
        </w:rPr>
        <w:t>La Cassa Centrale Raiffeisen dell’Alto Adige S.p.A. chiude l’anno 2019 con risultati straordinariamente eccellenti. La raccolta da clientela e i crediti erogati raggiungono i loro massimi storici, registrando un aumento di rispettivamente +8,17% e +4,02%. La qualità del credito continua a rimanere ottima. L'utile netto generato è il più alto mai conseguito dalla fondazione della Banca. Viene pubblicata per la prima volta una relazione sulla sostenibilità. Una buona base per sostenere la popolazione altoatesina nella situazione attuale.</w:t>
      </w:r>
    </w:p>
    <w:p w:rsidR="00701C1A" w:rsidRDefault="00701C1A" w:rsidP="00701C1A">
      <w:pPr>
        <w:rPr>
          <w:rFonts w:ascii="Arial" w:hAnsi="Arial" w:cs="Arial"/>
          <w:b/>
          <w:color w:val="000000" w:themeColor="text1"/>
        </w:rPr>
      </w:pPr>
    </w:p>
    <w:p w:rsidR="00701C1A" w:rsidRDefault="00701C1A" w:rsidP="00701C1A">
      <w:pPr>
        <w:rPr>
          <w:rFonts w:ascii="Arial" w:hAnsi="Arial" w:cs="Arial"/>
          <w:b/>
          <w:color w:val="000000" w:themeColor="text1"/>
        </w:rPr>
      </w:pPr>
    </w:p>
    <w:p w:rsidR="00701C1A" w:rsidRDefault="00701C1A" w:rsidP="00701C1A">
      <w:pPr>
        <w:jc w:val="both"/>
        <w:rPr>
          <w:rFonts w:ascii="Arial" w:hAnsi="Arial" w:cs="Arial"/>
          <w:color w:val="000000" w:themeColor="text1"/>
        </w:rPr>
      </w:pPr>
      <w:r>
        <w:rPr>
          <w:rFonts w:ascii="Arial" w:hAnsi="Arial" w:cs="Arial"/>
          <w:color w:val="000000" w:themeColor="text1"/>
        </w:rPr>
        <w:t xml:space="preserve">"Nel corso dell'esercizio 2019, la Cassa Centrale Raiffeisen dell'Alto Adige ha realizzato importanti progetti e conseguito i migliori risultati della sua storia. Siamo molto soddisfatti. Questo ci offre una solida base di partenza dalla quale affrontare il futuro con forza e determinazione", afferma il Presidente Michael Grüner. </w:t>
      </w:r>
    </w:p>
    <w:p w:rsidR="00701C1A" w:rsidRDefault="00701C1A" w:rsidP="00701C1A">
      <w:pPr>
        <w:rPr>
          <w:rFonts w:ascii="Arial" w:hAnsi="Arial" w:cs="Arial"/>
          <w:b/>
          <w:color w:val="000000" w:themeColor="text1"/>
        </w:rPr>
      </w:pPr>
    </w:p>
    <w:p w:rsidR="00701C1A" w:rsidRDefault="00701C1A" w:rsidP="00701C1A">
      <w:pPr>
        <w:autoSpaceDE w:val="0"/>
        <w:autoSpaceDN w:val="0"/>
        <w:adjustRightInd w:val="0"/>
        <w:jc w:val="both"/>
        <w:rPr>
          <w:rFonts w:ascii="Arial" w:hAnsi="Arial" w:cs="Arial"/>
          <w:color w:val="000000" w:themeColor="text1"/>
        </w:rPr>
      </w:pPr>
      <w:r>
        <w:rPr>
          <w:rFonts w:ascii="Arial" w:hAnsi="Arial" w:cs="Arial"/>
          <w:color w:val="000000" w:themeColor="text1"/>
        </w:rPr>
        <w:t>La Cassa Centrale Raiffeisen dell'Alto Adige ha il compito di supportare nella loro attività bancaria le 39 Casse Raiffeisen presenti in Alto Adige. Anche nello scorso esercizio, essa ha fornito alle Casse Raiffeisen una vasta gamma di servizi e prodotti bancari di elevata qualità ed ha operato in stretta collaborazione con le stesse, in particolare rispetto all'erogazione di crediti. La raccolta aggiuntiva operata dalla Banca, inoltre, ha contribuito a rafforzare l'intera Organizzazione.</w:t>
      </w:r>
    </w:p>
    <w:p w:rsidR="00701C1A" w:rsidRDefault="00701C1A" w:rsidP="00701C1A">
      <w:pPr>
        <w:rPr>
          <w:rFonts w:ascii="Arial" w:hAnsi="Arial" w:cs="Arial"/>
          <w:color w:val="000000" w:themeColor="text1"/>
        </w:rPr>
      </w:pPr>
    </w:p>
    <w:p w:rsidR="00701C1A" w:rsidRDefault="00701C1A" w:rsidP="00701C1A">
      <w:pPr>
        <w:jc w:val="both"/>
        <w:rPr>
          <w:rFonts w:ascii="Arial" w:hAnsi="Arial" w:cs="Arial"/>
          <w:b/>
          <w:color w:val="000000" w:themeColor="text1"/>
        </w:rPr>
      </w:pPr>
      <w:r>
        <w:rPr>
          <w:rFonts w:ascii="Arial" w:hAnsi="Arial" w:cs="Arial"/>
          <w:b/>
          <w:color w:val="000000" w:themeColor="text1"/>
        </w:rPr>
        <w:t>Crediti per le imprese altoatesine</w:t>
      </w:r>
    </w:p>
    <w:p w:rsidR="00701C1A" w:rsidRDefault="00701C1A" w:rsidP="00701C1A">
      <w:pPr>
        <w:spacing w:line="280" w:lineRule="exact"/>
        <w:jc w:val="both"/>
        <w:rPr>
          <w:rFonts w:ascii="Arial" w:hAnsi="Arial" w:cs="Arial"/>
          <w:color w:val="000000" w:themeColor="text1"/>
        </w:rPr>
      </w:pPr>
      <w:r>
        <w:rPr>
          <w:rFonts w:ascii="Arial" w:hAnsi="Arial" w:cs="Arial"/>
          <w:color w:val="000000" w:themeColor="text1"/>
        </w:rPr>
        <w:t>"Anche durante l'esercizio 2019, assieme alle Casse Raiffeisen, abbiamo messo a disposizione delle imprese altoatesine ingenti risorse economiche affinché queste ultime potessero realizzare i propri progetti imprenditoriali", spiega Grüner. Con un incremento di 64,1 milioni di euro (+4,02%), il volume creditizio ha raggiunto la quota di 1.660 milioni di euro, valore mai raggiunto prima nella storia della Banca.</w:t>
      </w:r>
    </w:p>
    <w:p w:rsidR="00701C1A" w:rsidRDefault="00701C1A" w:rsidP="00701C1A">
      <w:pPr>
        <w:autoSpaceDE w:val="0"/>
        <w:autoSpaceDN w:val="0"/>
        <w:adjustRightInd w:val="0"/>
        <w:rPr>
          <w:rFonts w:ascii="Arial" w:hAnsi="Arial" w:cs="Arial"/>
          <w:color w:val="000000" w:themeColor="text1"/>
        </w:rPr>
      </w:pPr>
    </w:p>
    <w:p w:rsidR="00701C1A" w:rsidRDefault="00701C1A" w:rsidP="00701C1A">
      <w:pPr>
        <w:autoSpaceDE w:val="0"/>
        <w:autoSpaceDN w:val="0"/>
        <w:adjustRightInd w:val="0"/>
        <w:rPr>
          <w:rFonts w:ascii="Arial" w:hAnsi="Arial" w:cs="Arial"/>
          <w:b/>
          <w:color w:val="000000" w:themeColor="text1"/>
        </w:rPr>
      </w:pPr>
      <w:r>
        <w:rPr>
          <w:rFonts w:ascii="Arial" w:hAnsi="Arial" w:cs="Arial"/>
          <w:b/>
          <w:color w:val="000000" w:themeColor="text1"/>
        </w:rPr>
        <w:t>Ottima qualità del credito</w:t>
      </w:r>
    </w:p>
    <w:p w:rsidR="00701C1A" w:rsidRDefault="00701C1A" w:rsidP="00701C1A">
      <w:pPr>
        <w:autoSpaceDE w:val="0"/>
        <w:autoSpaceDN w:val="0"/>
        <w:adjustRightInd w:val="0"/>
        <w:jc w:val="both"/>
        <w:rPr>
          <w:rFonts w:ascii="Arial" w:hAnsi="Arial" w:cs="Arial"/>
          <w:color w:val="000000" w:themeColor="text1"/>
        </w:rPr>
      </w:pPr>
      <w:r>
        <w:rPr>
          <w:rFonts w:ascii="Arial" w:hAnsi="Arial" w:cs="Arial"/>
          <w:color w:val="000000" w:themeColor="text1"/>
        </w:rPr>
        <w:t>La qualità dei crediti erogati è eccellente. L’incidenza delle sofferenze sul volume totale degli impieghi è da anni ai migliori livelli europei. Nel 2019, i crediti deteriorati sono ulteriormente diminuiti e si è potuto registrare nuovamente un miglioramento dei corrispondenti dati. Il tasso di NPL (non performing loan), pari al 3,17%, è ad un livello estremamente basso.</w:t>
      </w:r>
    </w:p>
    <w:p w:rsidR="00701C1A" w:rsidRDefault="00701C1A" w:rsidP="00701C1A">
      <w:pPr>
        <w:rPr>
          <w:rFonts w:ascii="Arial" w:hAnsi="Arial" w:cs="Arial"/>
          <w:color w:val="000000" w:themeColor="text1"/>
        </w:rPr>
      </w:pPr>
    </w:p>
    <w:p w:rsidR="00701C1A" w:rsidRDefault="00701C1A" w:rsidP="00701C1A">
      <w:pPr>
        <w:rPr>
          <w:rFonts w:ascii="Arial" w:hAnsi="Arial" w:cs="Arial"/>
          <w:color w:val="000000" w:themeColor="text1"/>
        </w:rPr>
      </w:pPr>
    </w:p>
    <w:p w:rsidR="00701C1A" w:rsidRDefault="00701C1A" w:rsidP="00701C1A">
      <w:pPr>
        <w:rPr>
          <w:rFonts w:ascii="Arial" w:hAnsi="Arial" w:cs="Arial"/>
          <w:color w:val="000000" w:themeColor="text1"/>
        </w:rPr>
      </w:pPr>
    </w:p>
    <w:p w:rsidR="00701C1A" w:rsidRDefault="00701C1A" w:rsidP="00701C1A">
      <w:pPr>
        <w:jc w:val="both"/>
        <w:rPr>
          <w:rFonts w:ascii="Arial" w:hAnsi="Arial" w:cs="Arial"/>
          <w:b/>
          <w:color w:val="000000" w:themeColor="text1"/>
        </w:rPr>
      </w:pPr>
      <w:r>
        <w:rPr>
          <w:rFonts w:ascii="Arial" w:hAnsi="Arial" w:cs="Arial"/>
          <w:b/>
          <w:color w:val="000000" w:themeColor="text1"/>
        </w:rPr>
        <w:t>Un rating tra i migliori</w:t>
      </w:r>
    </w:p>
    <w:p w:rsidR="00701C1A" w:rsidRDefault="00701C1A" w:rsidP="00701C1A">
      <w:pPr>
        <w:jc w:val="both"/>
        <w:rPr>
          <w:rFonts w:ascii="Arial" w:hAnsi="Arial" w:cs="Arial"/>
          <w:color w:val="000000" w:themeColor="text1"/>
        </w:rPr>
      </w:pPr>
      <w:r>
        <w:rPr>
          <w:rFonts w:ascii="Arial" w:hAnsi="Arial" w:cs="Arial"/>
          <w:color w:val="000000" w:themeColor="text1"/>
        </w:rPr>
        <w:t xml:space="preserve">Alla Cassa Centrale Raiffeisen dell'Alto Adige è stato assegnato da Moody's il rating più alto che è possibile trovare in Italia relativamente ai depositi bancari di lungo termine. Oltre alla Cassa Centrale Raiffeisen dell'Alto Adige, solo altre sette banche operanti in Italia possono vantare questo rating. "Gli altoatesini hanno fiducia in noi e presso di noi hanno depositato i loro fondi in misura sempre maggiore", afferma il Direttore Generale Zenone Giacomuzzi. </w:t>
      </w:r>
    </w:p>
    <w:p w:rsidR="00701C1A" w:rsidRDefault="00701C1A" w:rsidP="00701C1A">
      <w:pPr>
        <w:autoSpaceDE w:val="0"/>
        <w:autoSpaceDN w:val="0"/>
        <w:adjustRightInd w:val="0"/>
        <w:rPr>
          <w:rFonts w:ascii="Arial" w:hAnsi="Arial" w:cs="Arial"/>
          <w:b/>
          <w:color w:val="000000" w:themeColor="text1"/>
        </w:rPr>
      </w:pPr>
    </w:p>
    <w:p w:rsidR="00701C1A" w:rsidRDefault="00701C1A" w:rsidP="00701C1A">
      <w:pPr>
        <w:autoSpaceDE w:val="0"/>
        <w:autoSpaceDN w:val="0"/>
        <w:adjustRightInd w:val="0"/>
        <w:rPr>
          <w:rFonts w:ascii="Arial" w:hAnsi="Arial" w:cs="Arial"/>
          <w:b/>
          <w:color w:val="000000" w:themeColor="text1"/>
        </w:rPr>
      </w:pPr>
      <w:r>
        <w:rPr>
          <w:rFonts w:ascii="Arial" w:hAnsi="Arial" w:cs="Arial"/>
          <w:b/>
          <w:color w:val="000000" w:themeColor="text1"/>
        </w:rPr>
        <w:t>Raccolta al suo massimo storico</w:t>
      </w:r>
    </w:p>
    <w:p w:rsidR="00701C1A" w:rsidRDefault="00701C1A" w:rsidP="00701C1A">
      <w:pPr>
        <w:spacing w:line="280" w:lineRule="exact"/>
        <w:jc w:val="both"/>
        <w:rPr>
          <w:rFonts w:ascii="Arial" w:hAnsi="Arial" w:cs="Arial"/>
          <w:color w:val="000000" w:themeColor="text1"/>
        </w:rPr>
      </w:pPr>
      <w:r>
        <w:rPr>
          <w:rFonts w:ascii="Arial" w:hAnsi="Arial" w:cs="Arial"/>
          <w:color w:val="000000" w:themeColor="text1"/>
        </w:rPr>
        <w:t>Anche i depositi da clientela hanno raggiunto il valore più alto mai conseguito dalla Banca, portandosi a 1.614 milioni di euro (+8,17%). Allo stesso modo, la raccolta diretta complessiva, che comprende le obbligazioni emesse dalla banca, ha raggiunto un livello significativamente superiore rispetto all'anno precedente, toccando i 2,19 miliardi di euro (+ 16,39%). La raccolta indiretta (fondi di investimento, obbligazioni di emittenti terzi, azioni, assicurazioni sulla vita) arriva a fine anno a 3,1 miliardi di euro (-1,23%).</w:t>
      </w:r>
    </w:p>
    <w:p w:rsidR="00701C1A" w:rsidRDefault="00701C1A" w:rsidP="00701C1A">
      <w:pPr>
        <w:autoSpaceDE w:val="0"/>
        <w:autoSpaceDN w:val="0"/>
        <w:adjustRightInd w:val="0"/>
        <w:rPr>
          <w:rFonts w:ascii="Arial" w:hAnsi="Arial" w:cs="Arial"/>
          <w:color w:val="000000" w:themeColor="text1"/>
        </w:rPr>
      </w:pPr>
    </w:p>
    <w:p w:rsidR="00701C1A" w:rsidRDefault="00701C1A" w:rsidP="00701C1A">
      <w:pPr>
        <w:autoSpaceDE w:val="0"/>
        <w:autoSpaceDN w:val="0"/>
        <w:adjustRightInd w:val="0"/>
        <w:rPr>
          <w:rFonts w:ascii="Arial" w:hAnsi="Arial" w:cs="Arial"/>
          <w:b/>
          <w:color w:val="000000" w:themeColor="text1"/>
        </w:rPr>
      </w:pPr>
      <w:r>
        <w:rPr>
          <w:rFonts w:ascii="Arial" w:hAnsi="Arial" w:cs="Arial"/>
          <w:b/>
          <w:color w:val="000000" w:themeColor="text1"/>
        </w:rPr>
        <w:t>Buona redditività nonostante i bassi tassi d'interesse</w:t>
      </w:r>
    </w:p>
    <w:p w:rsidR="00701C1A" w:rsidRDefault="00701C1A" w:rsidP="00701C1A">
      <w:pPr>
        <w:autoSpaceDE w:val="0"/>
        <w:autoSpaceDN w:val="0"/>
        <w:adjustRightInd w:val="0"/>
        <w:jc w:val="both"/>
        <w:rPr>
          <w:rFonts w:ascii="Arial" w:hAnsi="Arial" w:cs="Arial"/>
          <w:color w:val="000000" w:themeColor="text1"/>
        </w:rPr>
      </w:pPr>
      <w:r>
        <w:rPr>
          <w:rFonts w:ascii="Arial" w:hAnsi="Arial" w:cs="Arial"/>
          <w:color w:val="000000" w:themeColor="text1"/>
        </w:rPr>
        <w:t>I tassi d'interesse sui mercati monetari e dei capitali sono rimasti a dei livelli storicamente bassi anche durante l'esercizio 2019. Tuttavia, il margine di interesse pari a 40,9 milioni di euro è risultato superiore del 4,41% rispetto al valore conseguito nel 2018. Le commissioni nette sono aumentate del 2,56%, attingendo in tal modo i 15,5 milioni di euro.</w:t>
      </w:r>
    </w:p>
    <w:p w:rsidR="00701C1A" w:rsidRDefault="00701C1A" w:rsidP="00701C1A">
      <w:pPr>
        <w:autoSpaceDE w:val="0"/>
        <w:autoSpaceDN w:val="0"/>
        <w:adjustRightInd w:val="0"/>
        <w:rPr>
          <w:rFonts w:ascii="Arial" w:hAnsi="Arial" w:cs="Arial"/>
          <w:color w:val="000000" w:themeColor="text1"/>
        </w:rPr>
      </w:pPr>
    </w:p>
    <w:p w:rsidR="00701C1A" w:rsidRDefault="00701C1A" w:rsidP="00701C1A">
      <w:pPr>
        <w:autoSpaceDE w:val="0"/>
        <w:autoSpaceDN w:val="0"/>
        <w:adjustRightInd w:val="0"/>
        <w:rPr>
          <w:rFonts w:ascii="Arial" w:hAnsi="Arial" w:cs="Arial"/>
          <w:b/>
          <w:color w:val="000000" w:themeColor="text1"/>
        </w:rPr>
      </w:pPr>
      <w:r>
        <w:rPr>
          <w:rFonts w:ascii="Arial" w:hAnsi="Arial" w:cs="Arial"/>
          <w:b/>
          <w:color w:val="000000" w:themeColor="text1"/>
        </w:rPr>
        <w:t>Struttura efficiente e snella</w:t>
      </w:r>
    </w:p>
    <w:p w:rsidR="00701C1A" w:rsidRDefault="00701C1A" w:rsidP="00701C1A">
      <w:pPr>
        <w:autoSpaceDE w:val="0"/>
        <w:autoSpaceDN w:val="0"/>
        <w:adjustRightInd w:val="0"/>
        <w:jc w:val="both"/>
        <w:rPr>
          <w:rFonts w:ascii="Arial" w:hAnsi="Arial" w:cs="Arial"/>
          <w:color w:val="000000" w:themeColor="text1"/>
        </w:rPr>
      </w:pPr>
      <w:r>
        <w:rPr>
          <w:rFonts w:ascii="Arial" w:hAnsi="Arial" w:cs="Arial"/>
          <w:color w:val="000000" w:themeColor="text1"/>
        </w:rPr>
        <w:t>La cassa Centrale Raiffeisen dell'Alto Adige è particolarmente attenta alla gestione ordinata delle risorse. Il "cost income ratio", il parametro più noto sull'efficienza delle banche, è pari al 42,9%, vale a dire a un valore che si colloca ai vertici europei.</w:t>
      </w:r>
    </w:p>
    <w:p w:rsidR="00701C1A" w:rsidRDefault="00701C1A" w:rsidP="00701C1A">
      <w:pPr>
        <w:autoSpaceDE w:val="0"/>
        <w:autoSpaceDN w:val="0"/>
        <w:adjustRightInd w:val="0"/>
        <w:jc w:val="both"/>
        <w:rPr>
          <w:rFonts w:ascii="Arial" w:hAnsi="Arial" w:cs="Arial"/>
          <w:color w:val="000000" w:themeColor="text1"/>
        </w:rPr>
      </w:pPr>
    </w:p>
    <w:p w:rsidR="00701C1A" w:rsidRDefault="00701C1A" w:rsidP="00701C1A">
      <w:pPr>
        <w:autoSpaceDE w:val="0"/>
        <w:autoSpaceDN w:val="0"/>
        <w:adjustRightInd w:val="0"/>
        <w:rPr>
          <w:rFonts w:ascii="Arial" w:hAnsi="Arial" w:cs="Arial"/>
          <w:b/>
          <w:color w:val="000000" w:themeColor="text1"/>
        </w:rPr>
      </w:pPr>
      <w:r>
        <w:rPr>
          <w:rFonts w:ascii="Arial" w:hAnsi="Arial" w:cs="Arial"/>
          <w:b/>
          <w:color w:val="000000" w:themeColor="text1"/>
        </w:rPr>
        <w:t>Robusta capitalizzazione</w:t>
      </w:r>
    </w:p>
    <w:p w:rsidR="00701C1A" w:rsidRDefault="00701C1A" w:rsidP="00701C1A">
      <w:pPr>
        <w:autoSpaceDE w:val="0"/>
        <w:autoSpaceDN w:val="0"/>
        <w:adjustRightInd w:val="0"/>
        <w:jc w:val="both"/>
        <w:rPr>
          <w:rFonts w:ascii="Arial" w:hAnsi="Arial" w:cs="Arial"/>
          <w:color w:val="000000" w:themeColor="text1"/>
        </w:rPr>
      </w:pPr>
      <w:r>
        <w:rPr>
          <w:rFonts w:ascii="Arial" w:hAnsi="Arial" w:cs="Arial"/>
          <w:color w:val="000000" w:themeColor="text1"/>
        </w:rPr>
        <w:t>Il patrimonio netto della Cassa Centrale Raiffeisen dell'Alto Adige è salito nel corso del 2019 da 326 a 394 milioni di euro (+ 21,03%), grazie alla positiva performance dei titoli di Stato italiani e all'aumento di capitale effettuato alla fine dell'anno per un importo di oltre 25 milioni di euro.</w:t>
      </w:r>
    </w:p>
    <w:p w:rsidR="00701C1A" w:rsidRDefault="00701C1A" w:rsidP="00701C1A">
      <w:pPr>
        <w:jc w:val="both"/>
        <w:rPr>
          <w:rFonts w:ascii="Arial" w:hAnsi="Arial" w:cs="Arial"/>
          <w:color w:val="000000" w:themeColor="text1"/>
        </w:rPr>
      </w:pPr>
      <w:r>
        <w:rPr>
          <w:rFonts w:ascii="Arial" w:hAnsi="Arial" w:cs="Arial"/>
          <w:color w:val="000000" w:themeColor="text1"/>
        </w:rPr>
        <w:t>Il coefficiente di capitale primario di classe 1 (il cosiddetto "CET 1") è pari al 16,12% e misura, pertanto, più del doppio del relativo requisito regolamentare.</w:t>
      </w:r>
    </w:p>
    <w:p w:rsidR="00701C1A" w:rsidRDefault="00701C1A" w:rsidP="00701C1A">
      <w:pPr>
        <w:autoSpaceDE w:val="0"/>
        <w:autoSpaceDN w:val="0"/>
        <w:adjustRightInd w:val="0"/>
        <w:rPr>
          <w:rFonts w:ascii="Arial" w:hAnsi="Arial" w:cs="Arial"/>
          <w:color w:val="000000" w:themeColor="text1"/>
        </w:rPr>
      </w:pPr>
    </w:p>
    <w:p w:rsidR="00701C1A" w:rsidRDefault="00701C1A" w:rsidP="00701C1A">
      <w:pPr>
        <w:spacing w:line="280" w:lineRule="exact"/>
        <w:jc w:val="both"/>
        <w:rPr>
          <w:rFonts w:ascii="Arial" w:hAnsi="Arial" w:cs="Arial"/>
          <w:b/>
          <w:color w:val="000000" w:themeColor="text1"/>
        </w:rPr>
      </w:pPr>
      <w:r>
        <w:rPr>
          <w:rFonts w:ascii="Arial" w:hAnsi="Arial" w:cs="Arial"/>
          <w:b/>
          <w:color w:val="000000" w:themeColor="text1"/>
        </w:rPr>
        <w:t>Un risultato al "top"</w:t>
      </w:r>
    </w:p>
    <w:p w:rsidR="00701C1A" w:rsidRDefault="00701C1A" w:rsidP="00701C1A">
      <w:pPr>
        <w:jc w:val="both"/>
        <w:rPr>
          <w:rFonts w:ascii="Arial" w:hAnsi="Arial" w:cs="Arial"/>
          <w:color w:val="000000" w:themeColor="text1"/>
        </w:rPr>
      </w:pPr>
      <w:r>
        <w:rPr>
          <w:rFonts w:ascii="Arial" w:hAnsi="Arial" w:cs="Arial"/>
          <w:color w:val="000000" w:themeColor="text1"/>
        </w:rPr>
        <w:t xml:space="preserve">Nel 2019, la Cassa Centrale Raiffeisen dell'Alto Adige è riuscita a conseguire un utile al lordo delle imposte pari a 39,82 milioni di euro. "Disponiamo delle riserve necessarie per affrontare gli anni a venire. In futuro, noi, vale a dire le Casse Raiffeisen e la popolazione altoatesina, ci daremo molto da fare per mantenere alta la prosperità della regione" afferma Grüner. </w:t>
      </w:r>
    </w:p>
    <w:p w:rsidR="00701C1A" w:rsidRDefault="00701C1A" w:rsidP="00701C1A">
      <w:pPr>
        <w:jc w:val="both"/>
        <w:rPr>
          <w:rFonts w:ascii="Arial" w:hAnsi="Arial" w:cs="Arial"/>
          <w:color w:val="000000" w:themeColor="text1"/>
        </w:rPr>
      </w:pPr>
      <w:r>
        <w:rPr>
          <w:rFonts w:ascii="Arial" w:hAnsi="Arial" w:cs="Arial"/>
          <w:color w:val="000000" w:themeColor="text1"/>
        </w:rPr>
        <w:t xml:space="preserve">L'utile netto di 29,3 milioni di euro, conseguito nel 2019, rappresenta il miglior risultato mai ottenuto prima dalla Banca. Il rendimento da dividendi nel 2019 è stato del 6,92%. </w:t>
      </w:r>
    </w:p>
    <w:p w:rsidR="00701C1A" w:rsidRDefault="00701C1A" w:rsidP="00701C1A">
      <w:pPr>
        <w:jc w:val="both"/>
        <w:rPr>
          <w:rFonts w:ascii="Arial" w:hAnsi="Arial" w:cs="Arial"/>
          <w:color w:val="000000" w:themeColor="text1"/>
        </w:rPr>
      </w:pPr>
      <w:r>
        <w:rPr>
          <w:rFonts w:ascii="Arial" w:hAnsi="Arial" w:cs="Arial"/>
          <w:color w:val="000000" w:themeColor="text1"/>
        </w:rPr>
        <w:t xml:space="preserve">L'assemblea dei soci ha deliberato tali risultati in data odierna. </w:t>
      </w:r>
    </w:p>
    <w:p w:rsidR="00701C1A" w:rsidRDefault="00701C1A" w:rsidP="00701C1A">
      <w:pPr>
        <w:autoSpaceDE w:val="0"/>
        <w:autoSpaceDN w:val="0"/>
        <w:adjustRightInd w:val="0"/>
        <w:jc w:val="both"/>
        <w:rPr>
          <w:rFonts w:ascii="Arial" w:hAnsi="Arial" w:cs="Arial"/>
          <w:color w:val="000000" w:themeColor="text1"/>
        </w:rPr>
      </w:pPr>
    </w:p>
    <w:p w:rsidR="00701C1A" w:rsidRDefault="00701C1A" w:rsidP="00701C1A">
      <w:pPr>
        <w:jc w:val="both"/>
        <w:rPr>
          <w:rFonts w:ascii="Arial" w:hAnsi="Arial" w:cs="Arial"/>
          <w:b/>
          <w:color w:val="000000" w:themeColor="text1"/>
        </w:rPr>
      </w:pPr>
      <w:r>
        <w:rPr>
          <w:rFonts w:ascii="Arial" w:hAnsi="Arial" w:cs="Arial"/>
          <w:b/>
          <w:color w:val="000000" w:themeColor="text1"/>
        </w:rPr>
        <w:t>Un forte partner per l'Alto Adige</w:t>
      </w:r>
    </w:p>
    <w:p w:rsidR="00701C1A" w:rsidRDefault="00701C1A" w:rsidP="00701C1A">
      <w:pPr>
        <w:autoSpaceDE w:val="0"/>
        <w:autoSpaceDN w:val="0"/>
        <w:adjustRightInd w:val="0"/>
        <w:jc w:val="both"/>
        <w:rPr>
          <w:rFonts w:ascii="Arial" w:hAnsi="Arial" w:cs="Arial"/>
          <w:color w:val="000000" w:themeColor="text1"/>
        </w:rPr>
      </w:pPr>
      <w:r>
        <w:rPr>
          <w:rFonts w:ascii="Arial" w:hAnsi="Arial" w:cs="Arial"/>
          <w:color w:val="000000" w:themeColor="text1"/>
        </w:rPr>
        <w:lastRenderedPageBreak/>
        <w:t>La Cassa Centrale Raiffeisen dell'Alto Adige ha fatto tesoro degli anni segnati da un andamento positivo e ha continuamente ottenuto dei risultati eccellenti. Gli indicatori fondamentali della Banca relativi al 2019 sono una chiara conferma di questa solida base. "Forti della nostra posizione, stiamo accompagnando i nostri clienti nell’attuale situazione molto delicata. Da marzo, assieme alle Casse Raiffeisen, offriamo specifiche soluzioni per superare il periodo di quarantena dovuto al Coronavirus, sospendendo e prolungando i finanziamenti in essere. A fine aprile, siamo partiti con prestiti agevolati, anticipazioni e prefinanziamenti per privati, aziende e associazioni", precisa il Direttore Generale Zenone Giacomuzzi. L'obiettivo principale è sostenere la popolazione altoatesina in maniera rapida e il meno burocratica possibile e fornirle liquidità.</w:t>
      </w:r>
    </w:p>
    <w:p w:rsidR="00701C1A" w:rsidRDefault="00701C1A" w:rsidP="00701C1A">
      <w:pPr>
        <w:rPr>
          <w:rFonts w:ascii="Arial" w:hAnsi="Arial" w:cs="Arial"/>
          <w:color w:val="000000" w:themeColor="text1"/>
        </w:rPr>
      </w:pPr>
    </w:p>
    <w:p w:rsidR="00701C1A" w:rsidRDefault="00701C1A" w:rsidP="00701C1A">
      <w:pPr>
        <w:autoSpaceDE w:val="0"/>
        <w:autoSpaceDN w:val="0"/>
        <w:adjustRightInd w:val="0"/>
        <w:rPr>
          <w:rFonts w:ascii="Arial" w:hAnsi="Arial" w:cs="Arial"/>
          <w:b/>
          <w:color w:val="000000" w:themeColor="text1"/>
        </w:rPr>
      </w:pPr>
      <w:r>
        <w:rPr>
          <w:rFonts w:ascii="Arial" w:hAnsi="Arial" w:cs="Arial"/>
          <w:b/>
          <w:color w:val="000000" w:themeColor="text1"/>
        </w:rPr>
        <w:t>Prospettive future</w:t>
      </w:r>
    </w:p>
    <w:p w:rsidR="00701C1A" w:rsidRDefault="00701C1A" w:rsidP="00701C1A">
      <w:pPr>
        <w:jc w:val="both"/>
        <w:rPr>
          <w:rFonts w:ascii="Arial" w:hAnsi="Arial" w:cs="Arial"/>
          <w:color w:val="000000" w:themeColor="text1"/>
        </w:rPr>
      </w:pPr>
      <w:r>
        <w:rPr>
          <w:rFonts w:ascii="Arial" w:hAnsi="Arial" w:cs="Arial"/>
          <w:color w:val="000000" w:themeColor="text1"/>
        </w:rPr>
        <w:t>Al momento risulta difficile prevedere con precisione le conseguenze dell'emergenza Covid-19 in Alto Adige. "Stiamo vivendo attualmente una situazione del tutto nuova con molte incognite. Le imprese altoatesine hanno tratto profitto dall'ottima crescita avvenuta negli ultimi anni. Anche adesso, i nostri clienti reagiscono attivamente e accolgono i crediti e le moratorie loro offerti.</w:t>
      </w:r>
    </w:p>
    <w:p w:rsidR="00701C1A" w:rsidRDefault="00701C1A" w:rsidP="00701C1A">
      <w:pPr>
        <w:jc w:val="both"/>
        <w:rPr>
          <w:rFonts w:ascii="Arial" w:hAnsi="Arial" w:cs="Arial"/>
          <w:color w:val="000000" w:themeColor="text1"/>
        </w:rPr>
      </w:pPr>
      <w:r>
        <w:rPr>
          <w:rFonts w:ascii="Arial" w:hAnsi="Arial" w:cs="Arial"/>
          <w:color w:val="000000" w:themeColor="text1"/>
        </w:rPr>
        <w:t>Le massicce misure di sostegno dovrebbero stabilizzare il sistema economico il più presto possibile. Operiamo in stretta collaborazione con la regione e le altre due banche locali. I nostri clienti possono contare su di noi", sostiene Zenone Giacomuzzi.</w:t>
      </w:r>
    </w:p>
    <w:p w:rsidR="00701C1A" w:rsidRDefault="00701C1A" w:rsidP="00701C1A">
      <w:pPr>
        <w:spacing w:line="280" w:lineRule="exact"/>
        <w:jc w:val="both"/>
        <w:rPr>
          <w:rFonts w:ascii="Arial" w:hAnsi="Arial" w:cs="Arial"/>
          <w:color w:val="000000" w:themeColor="text1"/>
        </w:rPr>
      </w:pPr>
    </w:p>
    <w:p w:rsidR="00701C1A" w:rsidRDefault="00701C1A" w:rsidP="00701C1A">
      <w:pPr>
        <w:spacing w:line="280" w:lineRule="exact"/>
        <w:jc w:val="both"/>
        <w:rPr>
          <w:rFonts w:ascii="Arial" w:hAnsi="Arial" w:cs="Arial"/>
          <w:color w:val="000000" w:themeColor="text1"/>
        </w:rPr>
      </w:pPr>
      <w:r>
        <w:rPr>
          <w:rFonts w:ascii="Arial" w:hAnsi="Arial" w:cs="Arial"/>
          <w:color w:val="000000" w:themeColor="text1"/>
        </w:rPr>
        <w:t>La nostra attenzione continua a essere focalizzata sull'alta qualità dei prodotti e dei servizi offerti ai clienti, sulla prudente gestione delle risorse e sull'attenta analisi della capacità di rimborso dei beneficiari dei crediti.</w:t>
      </w:r>
    </w:p>
    <w:p w:rsidR="00701C1A" w:rsidRDefault="00701C1A" w:rsidP="00701C1A">
      <w:pPr>
        <w:spacing w:line="280" w:lineRule="exact"/>
        <w:jc w:val="both"/>
        <w:rPr>
          <w:rFonts w:ascii="Arial" w:hAnsi="Arial" w:cs="Arial"/>
          <w:color w:val="000000" w:themeColor="text1"/>
        </w:rPr>
      </w:pPr>
      <w:r>
        <w:rPr>
          <w:rFonts w:ascii="Arial" w:hAnsi="Arial" w:cs="Arial"/>
          <w:color w:val="000000" w:themeColor="text1"/>
        </w:rPr>
        <w:t>"Con l'approvazione, nel mese di febbraio, del piano triennale 2020-2023, il Consiglio di Amministrazione ha dettato delle chiare linee e messo a disposizione le risorse necessarie. Gli organi sociali e il management punteranno alla difesa della solida posizione della Cassa Centrale Raiffeisen dell’Alto Adige e al raggiungimento di altri ambiziosi obbiettivi. Quel che è certo, è che sussistono le prerogative per affrontare con successo i compiti straordinari che comporterà il 2020 ", conclude il Direttore Generale.</w:t>
      </w:r>
    </w:p>
    <w:p w:rsidR="00701C1A" w:rsidRDefault="00701C1A" w:rsidP="00701C1A">
      <w:pPr>
        <w:spacing w:line="280" w:lineRule="exact"/>
        <w:jc w:val="both"/>
        <w:rPr>
          <w:rFonts w:ascii="Arial" w:hAnsi="Arial" w:cs="Arial"/>
          <w:color w:val="000000" w:themeColor="text1"/>
        </w:rPr>
      </w:pPr>
    </w:p>
    <w:p w:rsidR="00701C1A" w:rsidRDefault="00701C1A" w:rsidP="00701C1A">
      <w:pPr>
        <w:spacing w:line="280" w:lineRule="exact"/>
        <w:jc w:val="both"/>
        <w:rPr>
          <w:rFonts w:ascii="Arial" w:hAnsi="Arial" w:cs="Arial"/>
          <w:b/>
          <w:color w:val="000000" w:themeColor="text1"/>
        </w:rPr>
      </w:pPr>
      <w:r>
        <w:rPr>
          <w:rFonts w:ascii="Arial" w:hAnsi="Arial" w:cs="Arial"/>
          <w:b/>
          <w:color w:val="000000" w:themeColor="text1"/>
        </w:rPr>
        <w:t>Rafforzare le proprie radici</w:t>
      </w:r>
    </w:p>
    <w:p w:rsidR="00701C1A" w:rsidRDefault="00701C1A" w:rsidP="00701C1A">
      <w:pPr>
        <w:spacing w:line="280" w:lineRule="exact"/>
        <w:jc w:val="both"/>
        <w:rPr>
          <w:rFonts w:ascii="Arial" w:hAnsi="Arial" w:cs="Arial"/>
          <w:color w:val="000000" w:themeColor="text1"/>
        </w:rPr>
      </w:pPr>
      <w:r>
        <w:rPr>
          <w:rFonts w:ascii="Arial" w:hAnsi="Arial" w:cs="Arial"/>
          <w:color w:val="000000" w:themeColor="text1"/>
        </w:rPr>
        <w:t xml:space="preserve">Da sempre, la Cassa Centrale Raiffeisen dimostra che la sostenibilità e il successo aziendale non sono in contraddizione tra loro. Nel corso dell'esercizio trascorso, la Cassa Centrale Raiffeisen ha sviluppato in maniera strutturata le tre aree di responsabilità in tema di sostenibilità, vale a dire "economia", "sociale" e "ambiente", ed ha eleborato per la prima volta, su base volontaria, una relazione sulla sostenibilità ai sensi del decreto legislativo n. 254/2016. Nell'ambito di workshop con il Consiglio di Amministrazione e i dipendenti, si è discusso riguardo alla sostenibilità, sono stati definiti degli obiettivi ed è stato predisposto un pacchetto di misure che ha consentito, tra le altre cose, di dimezzare l'impronta di CO2 della Banca già nel corso del 2019. Un ulteriore obiettivo riguarda l'audit su famiglia e lavoro, grazie al quale la Cassa Centrale Raiffeisen intende sostenere i propri dipendenti. "Soprattutto in questi tempi difficili, riteniamo importante supportare i nostri dipendenti, offrendo loro soluzioni lavorative flessibili e orientate alla famiglia, affinché il lavoro possa proseguire con efficienza a beneficio dei nostri clienti", afferma Giacomuzzi. L'aumento dei fondi di investimento sostenibili (+35,31%) e i numerosi progetti di successo nel settore delle energie rinnovabili (235,46 milioni di euro, che </w:t>
      </w:r>
      <w:r>
        <w:rPr>
          <w:rFonts w:ascii="Arial" w:hAnsi="Arial" w:cs="Arial"/>
          <w:color w:val="000000" w:themeColor="text1"/>
        </w:rPr>
        <w:lastRenderedPageBreak/>
        <w:t xml:space="preserve">corrispondono al 14,74% dell'intero volume creditizio) dimostrano che l'economia sostenibile rappresenta una priorità anche per i clienti della Cassa Centrale Raiffeisen. </w:t>
      </w:r>
    </w:p>
    <w:p w:rsidR="00701C1A" w:rsidRDefault="00701C1A" w:rsidP="00701C1A">
      <w:pPr>
        <w:autoSpaceDE w:val="0"/>
        <w:autoSpaceDN w:val="0"/>
        <w:adjustRightInd w:val="0"/>
        <w:jc w:val="both"/>
        <w:rPr>
          <w:rFonts w:ascii="Arial" w:hAnsi="Arial" w:cs="Arial"/>
          <w:color w:val="000000" w:themeColor="text1"/>
        </w:rPr>
      </w:pPr>
      <w:r>
        <w:rPr>
          <w:rFonts w:ascii="Arial" w:hAnsi="Arial" w:cs="Arial"/>
          <w:color w:val="000000" w:themeColor="text1"/>
        </w:rPr>
        <w:t>"Dopo la crisi del Coronavirus, ci troveremo di fronte ad un mondo diverso. Riteniamo che sia nostra responsabilità continuare a promuovere uno sviluppo sostenibile del nostro settore di attività con soluzioni rapide e non burocratiche. Con spirito di solidarietà e fiducia, saremo in grado di fronteggiare insieme questa crisi e sfruttarla come opportunità per un futuro sostenibile", sostiene Giacomuzzi.</w:t>
      </w:r>
    </w:p>
    <w:p w:rsidR="00701C1A" w:rsidRDefault="00701C1A" w:rsidP="00701C1A">
      <w:pPr>
        <w:autoSpaceDE w:val="0"/>
        <w:autoSpaceDN w:val="0"/>
        <w:adjustRightInd w:val="0"/>
        <w:jc w:val="both"/>
        <w:rPr>
          <w:rFonts w:ascii="Arial" w:hAnsi="Arial" w:cs="Arial"/>
          <w:color w:val="000000" w:themeColor="text1"/>
        </w:rPr>
      </w:pPr>
    </w:p>
    <w:p w:rsidR="00701C1A" w:rsidRDefault="00701C1A" w:rsidP="00701C1A">
      <w:pPr>
        <w:spacing w:line="280" w:lineRule="exact"/>
        <w:jc w:val="both"/>
        <w:rPr>
          <w:rFonts w:ascii="Arial" w:hAnsi="Arial" w:cs="Arial"/>
          <w:b/>
          <w:color w:val="000000" w:themeColor="text1"/>
        </w:rPr>
      </w:pPr>
      <w:r>
        <w:rPr>
          <w:rFonts w:ascii="Arial" w:hAnsi="Arial" w:cs="Arial"/>
          <w:b/>
          <w:color w:val="000000" w:themeColor="text1"/>
        </w:rPr>
        <w:t>Cambio ai vertici</w:t>
      </w:r>
    </w:p>
    <w:p w:rsidR="00701C1A" w:rsidRDefault="00701C1A" w:rsidP="00701C1A">
      <w:pPr>
        <w:autoSpaceDE w:val="0"/>
        <w:autoSpaceDN w:val="0"/>
        <w:adjustRightInd w:val="0"/>
        <w:jc w:val="both"/>
        <w:rPr>
          <w:rFonts w:ascii="Arial" w:hAnsi="Arial" w:cs="Arial"/>
          <w:b/>
          <w:color w:val="000000" w:themeColor="text1"/>
        </w:rPr>
      </w:pPr>
      <w:r>
        <w:rPr>
          <w:rFonts w:ascii="Arial" w:hAnsi="Arial" w:cs="Arial"/>
          <w:color w:val="000000" w:themeColor="text1"/>
        </w:rPr>
        <w:t xml:space="preserve">"Dopo 29 anni in totale, di cui 23 come Presidente, mi congedo ora dalla carica di Presidente. Il Consiglio di Amministrazione nominerà a breve il nuovo Presidente. Consegno una Banca molto solida e sono convinto che la Cassa Centrale Raiffeisen saprà affrontare con bravura le sfide attuali", afferma Michael Grüner. Egli è stato membro del Consiglio di Amministrazione dal 1991 e, a partire dal 1997, lo ha presieduto in qualità di Presidente. Tale cambiamento ai vertici della Banca è stato programmato già da tempo. "Grazie alla sua competenza e capacità di cogliere l'essenziale, Michael Grüner ha contribuito a plasmare lo sviluppo della Banca ed ha reso possibile il suo successo. Assieme a tutta la squadra, ti ringrazio per i molti anni di proficua collaborazione", afferma Zenone Giacomuzzi. </w:t>
      </w:r>
    </w:p>
    <w:p w:rsidR="00701C1A" w:rsidRDefault="00701C1A" w:rsidP="00701C1A">
      <w:pPr>
        <w:autoSpaceDE w:val="0"/>
        <w:autoSpaceDN w:val="0"/>
        <w:adjustRightInd w:val="0"/>
        <w:jc w:val="both"/>
        <w:rPr>
          <w:rFonts w:ascii="Arial" w:hAnsi="Arial" w:cs="Arial"/>
          <w:b/>
          <w:color w:val="000000" w:themeColor="text1"/>
        </w:rPr>
      </w:pPr>
    </w:p>
    <w:p w:rsidR="00701C1A" w:rsidRDefault="00701C1A" w:rsidP="00701C1A">
      <w:pPr>
        <w:rPr>
          <w:rFonts w:ascii="Arial" w:hAnsi="Arial" w:cs="Arial"/>
          <w:b/>
        </w:rPr>
      </w:pPr>
      <w:r>
        <w:rPr>
          <w:rFonts w:ascii="Arial" w:hAnsi="Arial" w:cs="Arial"/>
          <w:b/>
        </w:rPr>
        <w:br w:type="page"/>
      </w:r>
    </w:p>
    <w:p w:rsidR="00701C1A" w:rsidRDefault="00701C1A" w:rsidP="00701C1A">
      <w:pPr>
        <w:autoSpaceDE w:val="0"/>
        <w:autoSpaceDN w:val="0"/>
        <w:adjustRightInd w:val="0"/>
        <w:jc w:val="both"/>
        <w:rPr>
          <w:rFonts w:ascii="Arial" w:hAnsi="Arial" w:cs="Arial"/>
          <w:b/>
          <w:color w:val="000000" w:themeColor="text1"/>
        </w:rPr>
      </w:pPr>
      <w:r>
        <w:rPr>
          <w:rFonts w:ascii="Arial" w:hAnsi="Arial" w:cs="Arial"/>
          <w:b/>
        </w:rPr>
        <w:lastRenderedPageBreak/>
        <w:t>Panoramica dei dati principali:</w:t>
      </w:r>
    </w:p>
    <w:p w:rsidR="00701C1A" w:rsidRDefault="00701C1A" w:rsidP="00701C1A"/>
    <w:tbl>
      <w:tblPr>
        <w:tblW w:w="10320" w:type="dxa"/>
        <w:tblInd w:w="65" w:type="dxa"/>
        <w:tblCellMar>
          <w:left w:w="70" w:type="dxa"/>
          <w:right w:w="70" w:type="dxa"/>
        </w:tblCellMar>
        <w:tblLook w:val="04A0" w:firstRow="1" w:lastRow="0" w:firstColumn="1" w:lastColumn="0" w:noHBand="0" w:noVBand="1"/>
      </w:tblPr>
      <w:tblGrid>
        <w:gridCol w:w="5180"/>
        <w:gridCol w:w="2080"/>
        <w:gridCol w:w="1720"/>
        <w:gridCol w:w="1340"/>
      </w:tblGrid>
      <w:tr w:rsidR="00701C1A" w:rsidTr="001F4EA2">
        <w:trPr>
          <w:trHeight w:val="300"/>
        </w:trPr>
        <w:tc>
          <w:tcPr>
            <w:tcW w:w="5180" w:type="dxa"/>
            <w:tcBorders>
              <w:top w:val="single" w:sz="4" w:space="0" w:color="auto"/>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b/>
                <w:color w:val="000000"/>
                <w:sz w:val="22"/>
                <w:lang w:val="it-IT"/>
              </w:rPr>
            </w:pPr>
            <w:r>
              <w:rPr>
                <w:rFonts w:ascii="Arial" w:hAnsi="Arial" w:cs="Arial"/>
                <w:b/>
                <w:color w:val="000000"/>
                <w:sz w:val="22"/>
              </w:rPr>
              <w:t>Valori in milioni di euro</w:t>
            </w:r>
          </w:p>
        </w:tc>
        <w:tc>
          <w:tcPr>
            <w:tcW w:w="2080" w:type="dxa"/>
            <w:tcBorders>
              <w:top w:val="single" w:sz="4" w:space="0" w:color="auto"/>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b/>
                <w:sz w:val="22"/>
                <w:lang w:val="it-IT"/>
              </w:rPr>
            </w:pPr>
            <w:r>
              <w:rPr>
                <w:rFonts w:ascii="Arial" w:hAnsi="Arial" w:cs="Arial"/>
                <w:b/>
                <w:sz w:val="22"/>
              </w:rPr>
              <w:t>31/12/2019</w:t>
            </w:r>
          </w:p>
        </w:tc>
        <w:tc>
          <w:tcPr>
            <w:tcW w:w="1720" w:type="dxa"/>
            <w:tcBorders>
              <w:top w:val="single" w:sz="4" w:space="0" w:color="auto"/>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b/>
                <w:sz w:val="22"/>
                <w:lang w:val="it-IT"/>
              </w:rPr>
            </w:pPr>
            <w:r>
              <w:rPr>
                <w:rFonts w:ascii="Arial" w:hAnsi="Arial" w:cs="Arial"/>
                <w:b/>
                <w:sz w:val="22"/>
              </w:rPr>
              <w:t>31/12/2018</w:t>
            </w:r>
          </w:p>
        </w:tc>
        <w:tc>
          <w:tcPr>
            <w:tcW w:w="1340" w:type="dxa"/>
            <w:tcBorders>
              <w:top w:val="single" w:sz="4" w:space="0" w:color="auto"/>
              <w:left w:val="nil"/>
              <w:bottom w:val="dotted" w:sz="4" w:space="0" w:color="auto"/>
              <w:right w:val="single" w:sz="4" w:space="0" w:color="auto"/>
            </w:tcBorders>
            <w:shd w:val="clear" w:color="auto" w:fill="D8E4BC"/>
            <w:noWrap/>
            <w:vAlign w:val="bottom"/>
            <w:hideMark/>
          </w:tcPr>
          <w:p w:rsidR="00701C1A" w:rsidRDefault="00701C1A" w:rsidP="001F4EA2">
            <w:pPr>
              <w:jc w:val="right"/>
              <w:rPr>
                <w:rFonts w:ascii="Arial" w:hAnsi="Arial" w:cs="Arial"/>
                <w:b/>
                <w:sz w:val="22"/>
                <w:lang w:val="it-IT"/>
              </w:rPr>
            </w:pPr>
            <w:r>
              <w:rPr>
                <w:rFonts w:ascii="Arial" w:hAnsi="Arial" w:cs="Arial"/>
                <w:b/>
                <w:sz w:val="22"/>
              </w:rPr>
              <w:t>Diff. %</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 </w:t>
            </w:r>
          </w:p>
        </w:tc>
        <w:tc>
          <w:tcPr>
            <w:tcW w:w="2080" w:type="dxa"/>
            <w:tcBorders>
              <w:top w:val="nil"/>
              <w:left w:val="nil"/>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 </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 </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 </w:t>
            </w:r>
          </w:p>
        </w:tc>
      </w:tr>
      <w:tr w:rsidR="00701C1A" w:rsidTr="001F4EA2">
        <w:trPr>
          <w:trHeight w:val="285"/>
        </w:trPr>
        <w:tc>
          <w:tcPr>
            <w:tcW w:w="5180" w:type="dxa"/>
            <w:tcBorders>
              <w:top w:val="nil"/>
              <w:left w:val="single" w:sz="4" w:space="0" w:color="auto"/>
              <w:bottom w:val="nil"/>
              <w:right w:val="nil"/>
            </w:tcBorders>
            <w:shd w:val="clear" w:color="auto" w:fill="ECECEC"/>
            <w:noWrap/>
            <w:vAlign w:val="center"/>
            <w:hideMark/>
          </w:tcPr>
          <w:p w:rsidR="00701C1A" w:rsidRDefault="00701C1A" w:rsidP="001F4EA2">
            <w:pPr>
              <w:rPr>
                <w:rFonts w:ascii="Arial" w:hAnsi="Arial" w:cs="Arial"/>
                <w:color w:val="008000"/>
                <w:sz w:val="22"/>
                <w:lang w:val="it-IT"/>
              </w:rPr>
            </w:pPr>
            <w:r>
              <w:rPr>
                <w:rFonts w:ascii="Arial" w:hAnsi="Arial" w:cs="Arial"/>
                <w:color w:val="008000"/>
                <w:sz w:val="22"/>
              </w:rPr>
              <w:t>Stato patrimoniale e conto economico</w:t>
            </w:r>
          </w:p>
        </w:tc>
        <w:tc>
          <w:tcPr>
            <w:tcW w:w="208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72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340" w:type="dxa"/>
            <w:tcBorders>
              <w:top w:val="nil"/>
              <w:left w:val="nil"/>
              <w:bottom w:val="nil"/>
              <w:right w:val="single" w:sz="4" w:space="0" w:color="auto"/>
            </w:tcBorders>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r>
      <w:tr w:rsidR="00701C1A" w:rsidTr="001F4EA2">
        <w:trPr>
          <w:trHeight w:val="255"/>
        </w:trPr>
        <w:tc>
          <w:tcPr>
            <w:tcW w:w="5180" w:type="dxa"/>
            <w:tcBorders>
              <w:top w:val="dotted" w:sz="4" w:space="0" w:color="auto"/>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Totale attivo</w:t>
            </w:r>
          </w:p>
        </w:tc>
        <w:tc>
          <w:tcPr>
            <w:tcW w:w="2080" w:type="dxa"/>
            <w:tcBorders>
              <w:top w:val="dotted" w:sz="4" w:space="0" w:color="auto"/>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4.965</w:t>
            </w:r>
          </w:p>
        </w:tc>
        <w:tc>
          <w:tcPr>
            <w:tcW w:w="1720" w:type="dxa"/>
            <w:tcBorders>
              <w:top w:val="dotted" w:sz="4" w:space="0" w:color="auto"/>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4.336</w:t>
            </w:r>
          </w:p>
        </w:tc>
        <w:tc>
          <w:tcPr>
            <w:tcW w:w="1340" w:type="dxa"/>
            <w:tcBorders>
              <w:top w:val="dotted" w:sz="4" w:space="0" w:color="auto"/>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14,51%</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Raccolta</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2.187</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1.879</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16,39%</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 xml:space="preserve">   di cui depositi da clientela</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1.614</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1.492</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8,17%</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Crediti (crediti netti verso clientela)</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1.660</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1.596</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4,02%</w:t>
            </w:r>
          </w:p>
        </w:tc>
      </w:tr>
      <w:tr w:rsidR="00701C1A" w:rsidTr="001F4EA2">
        <w:trPr>
          <w:trHeight w:val="120"/>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 </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rPr>
                <w:rFonts w:ascii="Arial" w:hAnsi="Arial" w:cs="Arial"/>
                <w:sz w:val="20"/>
                <w:lang w:val="it-IT"/>
              </w:rPr>
            </w:pPr>
            <w:r>
              <w:rPr>
                <w:rFonts w:ascii="Arial" w:hAnsi="Arial" w:cs="Arial"/>
                <w:sz w:val="20"/>
              </w:rPr>
              <w:t> </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 </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 </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Utile al lordo delle imposte</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39,82</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27,31</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45,84%</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Utile d'esercizio</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29,30</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19,05</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53,84%</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Capitale sociale</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225</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200</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12,50%</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Patrimonio netto</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394</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326</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21,03%</w:t>
            </w:r>
          </w:p>
        </w:tc>
      </w:tr>
      <w:tr w:rsidR="00701C1A" w:rsidTr="001F4EA2">
        <w:trPr>
          <w:trHeight w:val="285"/>
        </w:trPr>
        <w:tc>
          <w:tcPr>
            <w:tcW w:w="5180" w:type="dxa"/>
            <w:tcBorders>
              <w:top w:val="nil"/>
              <w:left w:val="single" w:sz="4" w:space="0" w:color="auto"/>
              <w:bottom w:val="nil"/>
              <w:right w:val="nil"/>
            </w:tcBorders>
            <w:shd w:val="clear" w:color="auto" w:fill="ECECEC"/>
            <w:noWrap/>
            <w:vAlign w:val="center"/>
            <w:hideMark/>
          </w:tcPr>
          <w:p w:rsidR="00701C1A" w:rsidRDefault="00701C1A" w:rsidP="001F4EA2">
            <w:pPr>
              <w:rPr>
                <w:rFonts w:ascii="Arial" w:hAnsi="Arial" w:cs="Arial"/>
                <w:color w:val="008000"/>
                <w:sz w:val="22"/>
                <w:lang w:val="it-IT"/>
              </w:rPr>
            </w:pPr>
            <w:r>
              <w:rPr>
                <w:rFonts w:ascii="Arial" w:hAnsi="Arial" w:cs="Arial"/>
                <w:color w:val="008000"/>
                <w:sz w:val="22"/>
              </w:rPr>
              <w:t xml:space="preserve">Rating </w:t>
            </w:r>
          </w:p>
        </w:tc>
        <w:tc>
          <w:tcPr>
            <w:tcW w:w="208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72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340" w:type="dxa"/>
            <w:tcBorders>
              <w:top w:val="nil"/>
              <w:left w:val="nil"/>
              <w:bottom w:val="nil"/>
              <w:right w:val="single" w:sz="4" w:space="0" w:color="auto"/>
            </w:tcBorders>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r>
      <w:tr w:rsidR="00701C1A" w:rsidTr="001F4EA2">
        <w:trPr>
          <w:trHeight w:val="255"/>
        </w:trPr>
        <w:tc>
          <w:tcPr>
            <w:tcW w:w="5180" w:type="dxa"/>
            <w:tcBorders>
              <w:top w:val="dotted" w:sz="4" w:space="0" w:color="auto"/>
              <w:left w:val="single" w:sz="4" w:space="0" w:color="auto"/>
              <w:bottom w:val="dotted" w:sz="4" w:space="0" w:color="auto"/>
              <w:right w:val="dotted" w:sz="4" w:space="0" w:color="auto"/>
            </w:tcBorders>
            <w:noWrap/>
            <w:hideMark/>
          </w:tcPr>
          <w:p w:rsidR="00701C1A" w:rsidRDefault="00701C1A" w:rsidP="001F4EA2">
            <w:pPr>
              <w:rPr>
                <w:rFonts w:ascii="Arial" w:hAnsi="Arial" w:cs="Arial"/>
                <w:color w:val="000000"/>
                <w:sz w:val="20"/>
                <w:lang w:val="it-IT"/>
              </w:rPr>
            </w:pPr>
            <w:r>
              <w:rPr>
                <w:rFonts w:ascii="Arial" w:hAnsi="Arial" w:cs="Arial"/>
                <w:color w:val="000000"/>
                <w:sz w:val="20"/>
              </w:rPr>
              <w:t>Rating assegnato da Moody's **</w:t>
            </w:r>
          </w:p>
        </w:tc>
        <w:tc>
          <w:tcPr>
            <w:tcW w:w="2080" w:type="dxa"/>
            <w:tcBorders>
              <w:top w:val="dotted" w:sz="4" w:space="0" w:color="auto"/>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Baa1</w:t>
            </w:r>
          </w:p>
        </w:tc>
        <w:tc>
          <w:tcPr>
            <w:tcW w:w="1720" w:type="dxa"/>
            <w:tcBorders>
              <w:top w:val="dotted" w:sz="4" w:space="0" w:color="auto"/>
              <w:left w:val="nil"/>
              <w:bottom w:val="dotted" w:sz="4" w:space="0" w:color="auto"/>
              <w:right w:val="dotted" w:sz="4" w:space="0" w:color="auto"/>
            </w:tcBorders>
            <w:noWrap/>
            <w:hideMark/>
          </w:tcPr>
          <w:p w:rsidR="00701C1A" w:rsidRDefault="00701C1A" w:rsidP="001F4EA2">
            <w:pPr>
              <w:jc w:val="right"/>
              <w:rPr>
                <w:rFonts w:ascii="Arial" w:hAnsi="Arial" w:cs="Arial"/>
                <w:color w:val="000000"/>
                <w:sz w:val="20"/>
                <w:lang w:val="it-IT"/>
              </w:rPr>
            </w:pPr>
            <w:r>
              <w:rPr>
                <w:rFonts w:ascii="Arial" w:hAnsi="Arial" w:cs="Arial"/>
                <w:color w:val="000000"/>
                <w:sz w:val="20"/>
              </w:rPr>
              <w:t>A3</w:t>
            </w:r>
          </w:p>
        </w:tc>
        <w:tc>
          <w:tcPr>
            <w:tcW w:w="1340" w:type="dxa"/>
            <w:tcBorders>
              <w:top w:val="dotted" w:sz="4" w:space="0" w:color="auto"/>
              <w:left w:val="nil"/>
              <w:bottom w:val="dotted"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 </w:t>
            </w:r>
          </w:p>
        </w:tc>
      </w:tr>
      <w:tr w:rsidR="00701C1A" w:rsidTr="001F4EA2">
        <w:trPr>
          <w:trHeight w:val="285"/>
        </w:trPr>
        <w:tc>
          <w:tcPr>
            <w:tcW w:w="5180" w:type="dxa"/>
            <w:tcBorders>
              <w:top w:val="nil"/>
              <w:left w:val="single" w:sz="4" w:space="0" w:color="auto"/>
              <w:bottom w:val="nil"/>
              <w:right w:val="nil"/>
            </w:tcBorders>
            <w:shd w:val="clear" w:color="auto" w:fill="ECECEC"/>
            <w:noWrap/>
            <w:vAlign w:val="center"/>
            <w:hideMark/>
          </w:tcPr>
          <w:p w:rsidR="00701C1A" w:rsidRDefault="00701C1A" w:rsidP="001F4EA2">
            <w:pPr>
              <w:rPr>
                <w:rFonts w:ascii="Arial" w:hAnsi="Arial" w:cs="Arial"/>
                <w:color w:val="008000"/>
                <w:sz w:val="22"/>
                <w:lang w:val="it-IT"/>
              </w:rPr>
            </w:pPr>
            <w:r>
              <w:rPr>
                <w:rFonts w:ascii="Arial" w:hAnsi="Arial" w:cs="Arial"/>
                <w:color w:val="008000"/>
                <w:sz w:val="22"/>
              </w:rPr>
              <w:t>Indici di redditività</w:t>
            </w:r>
          </w:p>
        </w:tc>
        <w:tc>
          <w:tcPr>
            <w:tcW w:w="208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72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340" w:type="dxa"/>
            <w:tcBorders>
              <w:top w:val="nil"/>
              <w:left w:val="nil"/>
              <w:bottom w:val="nil"/>
              <w:right w:val="single" w:sz="4" w:space="0" w:color="auto"/>
            </w:tcBorders>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r>
      <w:tr w:rsidR="00701C1A" w:rsidTr="001F4EA2">
        <w:trPr>
          <w:trHeight w:val="255"/>
        </w:trPr>
        <w:tc>
          <w:tcPr>
            <w:tcW w:w="5180" w:type="dxa"/>
            <w:tcBorders>
              <w:top w:val="dotted" w:sz="4" w:space="0" w:color="auto"/>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Utile d'esercizio/patrimonio netto (ROE)</w:t>
            </w:r>
          </w:p>
        </w:tc>
        <w:tc>
          <w:tcPr>
            <w:tcW w:w="2080" w:type="dxa"/>
            <w:tcBorders>
              <w:top w:val="dotted" w:sz="4" w:space="0" w:color="auto"/>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7,43%</w:t>
            </w:r>
          </w:p>
        </w:tc>
        <w:tc>
          <w:tcPr>
            <w:tcW w:w="1720" w:type="dxa"/>
            <w:tcBorders>
              <w:top w:val="dotted" w:sz="4" w:space="0" w:color="auto"/>
              <w:left w:val="nil"/>
              <w:bottom w:val="dotted" w:sz="4" w:space="0" w:color="auto"/>
              <w:right w:val="dotted"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5,85%</w:t>
            </w:r>
          </w:p>
        </w:tc>
        <w:tc>
          <w:tcPr>
            <w:tcW w:w="1340" w:type="dxa"/>
            <w:tcBorders>
              <w:top w:val="dotted" w:sz="4" w:space="0" w:color="auto"/>
              <w:left w:val="nil"/>
              <w:bottom w:val="dotted"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27,11%</w:t>
            </w:r>
          </w:p>
        </w:tc>
      </w:tr>
      <w:tr w:rsidR="00701C1A" w:rsidTr="001F4EA2">
        <w:trPr>
          <w:trHeight w:val="255"/>
        </w:trPr>
        <w:tc>
          <w:tcPr>
            <w:tcW w:w="5180" w:type="dxa"/>
            <w:tcBorders>
              <w:top w:val="nil"/>
              <w:left w:val="single" w:sz="4" w:space="0" w:color="auto"/>
              <w:bottom w:val="nil"/>
              <w:right w:val="nil"/>
            </w:tcBorders>
            <w:noWrap/>
            <w:vAlign w:val="bottom"/>
            <w:hideMark/>
          </w:tcPr>
          <w:p w:rsidR="00701C1A" w:rsidRDefault="00701C1A" w:rsidP="001F4EA2">
            <w:pPr>
              <w:rPr>
                <w:rFonts w:ascii="Arial" w:hAnsi="Arial" w:cs="Arial"/>
                <w:sz w:val="20"/>
                <w:lang w:val="it-IT"/>
              </w:rPr>
            </w:pPr>
            <w:r>
              <w:rPr>
                <w:rFonts w:ascii="Arial" w:hAnsi="Arial" w:cs="Arial"/>
                <w:sz w:val="20"/>
              </w:rPr>
              <w:t>Dividendi distribuiti</w:t>
            </w:r>
          </w:p>
        </w:tc>
        <w:tc>
          <w:tcPr>
            <w:tcW w:w="2080" w:type="dxa"/>
            <w:tcBorders>
              <w:top w:val="nil"/>
              <w:left w:val="dotted" w:sz="4" w:space="0" w:color="auto"/>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14</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7</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94,44%</w:t>
            </w:r>
          </w:p>
        </w:tc>
      </w:tr>
      <w:tr w:rsidR="00701C1A" w:rsidTr="001F4EA2">
        <w:trPr>
          <w:trHeight w:val="255"/>
        </w:trPr>
        <w:tc>
          <w:tcPr>
            <w:tcW w:w="5180" w:type="dxa"/>
            <w:tcBorders>
              <w:top w:val="dotted" w:sz="4" w:space="0" w:color="auto"/>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Rendimento dei dividendi</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6,92%</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3,60%</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 </w:t>
            </w:r>
          </w:p>
        </w:tc>
      </w:tr>
      <w:tr w:rsidR="00701C1A" w:rsidTr="001F4EA2">
        <w:trPr>
          <w:trHeight w:val="285"/>
        </w:trPr>
        <w:tc>
          <w:tcPr>
            <w:tcW w:w="5180" w:type="dxa"/>
            <w:tcBorders>
              <w:top w:val="nil"/>
              <w:left w:val="single" w:sz="4" w:space="0" w:color="auto"/>
              <w:bottom w:val="nil"/>
              <w:right w:val="nil"/>
            </w:tcBorders>
            <w:shd w:val="clear" w:color="auto" w:fill="ECECEC"/>
            <w:noWrap/>
            <w:vAlign w:val="center"/>
            <w:hideMark/>
          </w:tcPr>
          <w:p w:rsidR="00701C1A" w:rsidRDefault="00701C1A" w:rsidP="001F4EA2">
            <w:pPr>
              <w:rPr>
                <w:rFonts w:ascii="Arial" w:hAnsi="Arial" w:cs="Arial"/>
                <w:color w:val="008000"/>
                <w:sz w:val="22"/>
                <w:lang w:val="it-IT"/>
              </w:rPr>
            </w:pPr>
            <w:r>
              <w:rPr>
                <w:rFonts w:ascii="Arial" w:hAnsi="Arial" w:cs="Arial"/>
                <w:color w:val="008000"/>
                <w:sz w:val="22"/>
              </w:rPr>
              <w:t>Indici di stabilità</w:t>
            </w:r>
          </w:p>
        </w:tc>
        <w:tc>
          <w:tcPr>
            <w:tcW w:w="208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72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340" w:type="dxa"/>
            <w:tcBorders>
              <w:top w:val="nil"/>
              <w:left w:val="nil"/>
              <w:bottom w:val="nil"/>
              <w:right w:val="single" w:sz="4" w:space="0" w:color="auto"/>
            </w:tcBorders>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r>
      <w:tr w:rsidR="00701C1A" w:rsidTr="001F4EA2">
        <w:trPr>
          <w:trHeight w:val="255"/>
        </w:trPr>
        <w:tc>
          <w:tcPr>
            <w:tcW w:w="5180" w:type="dxa"/>
            <w:tcBorders>
              <w:top w:val="dotted" w:sz="4" w:space="0" w:color="auto"/>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Capitale primario di classe 1 (CET 1)</w:t>
            </w:r>
          </w:p>
        </w:tc>
        <w:tc>
          <w:tcPr>
            <w:tcW w:w="2080" w:type="dxa"/>
            <w:tcBorders>
              <w:top w:val="dotted" w:sz="4" w:space="0" w:color="auto"/>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16,12%</w:t>
            </w:r>
          </w:p>
        </w:tc>
        <w:tc>
          <w:tcPr>
            <w:tcW w:w="1720" w:type="dxa"/>
            <w:tcBorders>
              <w:top w:val="dotted" w:sz="4" w:space="0" w:color="auto"/>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13,88%</w:t>
            </w:r>
          </w:p>
        </w:tc>
        <w:tc>
          <w:tcPr>
            <w:tcW w:w="1340" w:type="dxa"/>
            <w:tcBorders>
              <w:top w:val="dotted" w:sz="4" w:space="0" w:color="auto"/>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16,15%</w:t>
            </w:r>
          </w:p>
        </w:tc>
      </w:tr>
      <w:tr w:rsidR="00701C1A" w:rsidTr="001F4EA2">
        <w:trPr>
          <w:trHeight w:val="285"/>
        </w:trPr>
        <w:tc>
          <w:tcPr>
            <w:tcW w:w="5180" w:type="dxa"/>
            <w:tcBorders>
              <w:top w:val="nil"/>
              <w:left w:val="single" w:sz="4" w:space="0" w:color="auto"/>
              <w:bottom w:val="nil"/>
              <w:right w:val="nil"/>
            </w:tcBorders>
            <w:shd w:val="clear" w:color="auto" w:fill="ECECEC"/>
            <w:noWrap/>
            <w:vAlign w:val="center"/>
            <w:hideMark/>
          </w:tcPr>
          <w:p w:rsidR="00701C1A" w:rsidRDefault="00701C1A" w:rsidP="001F4EA2">
            <w:pPr>
              <w:rPr>
                <w:rFonts w:ascii="Arial" w:hAnsi="Arial" w:cs="Arial"/>
                <w:color w:val="008000"/>
                <w:sz w:val="22"/>
                <w:lang w:val="it-IT"/>
              </w:rPr>
            </w:pPr>
            <w:r>
              <w:rPr>
                <w:rFonts w:ascii="Arial" w:hAnsi="Arial" w:cs="Arial"/>
                <w:color w:val="008000"/>
                <w:sz w:val="22"/>
              </w:rPr>
              <w:t>Indici di efficienza</w:t>
            </w:r>
          </w:p>
        </w:tc>
        <w:tc>
          <w:tcPr>
            <w:tcW w:w="208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72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340" w:type="dxa"/>
            <w:tcBorders>
              <w:top w:val="nil"/>
              <w:left w:val="nil"/>
              <w:bottom w:val="nil"/>
              <w:right w:val="single" w:sz="4" w:space="0" w:color="auto"/>
            </w:tcBorders>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r>
      <w:tr w:rsidR="00701C1A" w:rsidTr="001F4EA2">
        <w:trPr>
          <w:trHeight w:val="255"/>
        </w:trPr>
        <w:tc>
          <w:tcPr>
            <w:tcW w:w="5180" w:type="dxa"/>
            <w:tcBorders>
              <w:top w:val="dotted" w:sz="4" w:space="0" w:color="auto"/>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color w:val="000000"/>
                <w:sz w:val="20"/>
                <w:lang w:val="it-IT"/>
              </w:rPr>
            </w:pPr>
            <w:r>
              <w:rPr>
                <w:rFonts w:ascii="Arial" w:hAnsi="Arial" w:cs="Arial"/>
                <w:color w:val="000000"/>
                <w:sz w:val="20"/>
              </w:rPr>
              <w:t>Cost Income Ratio</w:t>
            </w:r>
          </w:p>
        </w:tc>
        <w:tc>
          <w:tcPr>
            <w:tcW w:w="2080" w:type="dxa"/>
            <w:tcBorders>
              <w:top w:val="dotted" w:sz="4" w:space="0" w:color="auto"/>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42,91%</w:t>
            </w:r>
          </w:p>
        </w:tc>
        <w:tc>
          <w:tcPr>
            <w:tcW w:w="1720" w:type="dxa"/>
            <w:tcBorders>
              <w:top w:val="dotted" w:sz="4" w:space="0" w:color="auto"/>
              <w:left w:val="nil"/>
              <w:bottom w:val="dotted" w:sz="4" w:space="0" w:color="auto"/>
              <w:right w:val="dotted"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47,20%</w:t>
            </w:r>
          </w:p>
        </w:tc>
        <w:tc>
          <w:tcPr>
            <w:tcW w:w="1340" w:type="dxa"/>
            <w:tcBorders>
              <w:top w:val="dotted" w:sz="4" w:space="0" w:color="auto"/>
              <w:left w:val="nil"/>
              <w:bottom w:val="dotted"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-9,10%</w:t>
            </w:r>
          </w:p>
        </w:tc>
      </w:tr>
      <w:tr w:rsidR="00701C1A" w:rsidTr="001F4EA2">
        <w:trPr>
          <w:trHeight w:val="285"/>
        </w:trPr>
        <w:tc>
          <w:tcPr>
            <w:tcW w:w="5180" w:type="dxa"/>
            <w:tcBorders>
              <w:top w:val="dotted" w:sz="4" w:space="0" w:color="auto"/>
              <w:left w:val="single" w:sz="4" w:space="0" w:color="auto"/>
              <w:bottom w:val="dotted" w:sz="4" w:space="0" w:color="auto"/>
              <w:right w:val="nil"/>
            </w:tcBorders>
            <w:shd w:val="clear" w:color="auto" w:fill="ECECEC"/>
            <w:noWrap/>
            <w:vAlign w:val="center"/>
            <w:hideMark/>
          </w:tcPr>
          <w:p w:rsidR="00701C1A" w:rsidRDefault="00701C1A" w:rsidP="001F4EA2">
            <w:pPr>
              <w:rPr>
                <w:rFonts w:ascii="Arial" w:hAnsi="Arial" w:cs="Arial"/>
                <w:color w:val="008000"/>
                <w:sz w:val="22"/>
                <w:lang w:val="it-IT"/>
              </w:rPr>
            </w:pPr>
            <w:r>
              <w:rPr>
                <w:rFonts w:ascii="Arial" w:hAnsi="Arial" w:cs="Arial"/>
                <w:color w:val="008000"/>
                <w:sz w:val="22"/>
              </w:rPr>
              <w:t>Indici di rischio</w:t>
            </w:r>
          </w:p>
        </w:tc>
        <w:tc>
          <w:tcPr>
            <w:tcW w:w="2080" w:type="dxa"/>
            <w:tcBorders>
              <w:top w:val="dotted" w:sz="4" w:space="0" w:color="auto"/>
              <w:left w:val="nil"/>
              <w:bottom w:val="dotted" w:sz="4" w:space="0" w:color="auto"/>
              <w:right w:val="nil"/>
            </w:tcBorders>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720" w:type="dxa"/>
            <w:tcBorders>
              <w:top w:val="dotted" w:sz="4" w:space="0" w:color="auto"/>
              <w:left w:val="nil"/>
              <w:bottom w:val="dotted" w:sz="4" w:space="0" w:color="auto"/>
              <w:right w:val="nil"/>
            </w:tcBorders>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340" w:type="dxa"/>
            <w:tcBorders>
              <w:top w:val="dotted" w:sz="4" w:space="0" w:color="auto"/>
              <w:left w:val="nil"/>
              <w:bottom w:val="dotted" w:sz="4" w:space="0" w:color="auto"/>
              <w:right w:val="single" w:sz="4" w:space="0" w:color="auto"/>
            </w:tcBorders>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r>
      <w:tr w:rsidR="00701C1A" w:rsidTr="001F4EA2">
        <w:trPr>
          <w:trHeight w:val="255"/>
        </w:trPr>
        <w:tc>
          <w:tcPr>
            <w:tcW w:w="5180" w:type="dxa"/>
            <w:tcBorders>
              <w:top w:val="dotted" w:sz="4" w:space="0" w:color="auto"/>
              <w:left w:val="single" w:sz="4" w:space="0" w:color="auto"/>
              <w:bottom w:val="dotted" w:sz="4" w:space="0" w:color="auto"/>
              <w:right w:val="dotted" w:sz="4" w:space="0" w:color="auto"/>
            </w:tcBorders>
            <w:vAlign w:val="center"/>
            <w:hideMark/>
          </w:tcPr>
          <w:p w:rsidR="00701C1A" w:rsidRDefault="00701C1A" w:rsidP="001F4EA2">
            <w:pPr>
              <w:rPr>
                <w:rFonts w:ascii="Arial" w:hAnsi="Arial" w:cs="Arial"/>
                <w:color w:val="000000"/>
                <w:sz w:val="20"/>
                <w:lang w:val="it-IT"/>
              </w:rPr>
            </w:pPr>
            <w:r>
              <w:rPr>
                <w:rFonts w:ascii="Arial" w:hAnsi="Arial" w:cs="Arial"/>
                <w:color w:val="000000"/>
                <w:sz w:val="20"/>
              </w:rPr>
              <w:t>Tasso NPL*</w:t>
            </w:r>
          </w:p>
        </w:tc>
        <w:tc>
          <w:tcPr>
            <w:tcW w:w="2080" w:type="dxa"/>
            <w:tcBorders>
              <w:top w:val="dotted" w:sz="4" w:space="0" w:color="auto"/>
              <w:left w:val="nil"/>
              <w:bottom w:val="dotted" w:sz="4" w:space="0" w:color="auto"/>
              <w:right w:val="dotted" w:sz="4" w:space="0" w:color="auto"/>
            </w:tcBorders>
            <w:shd w:val="clear" w:color="auto" w:fill="D8E4BC"/>
            <w:noWrap/>
            <w:vAlign w:val="center"/>
            <w:hideMark/>
          </w:tcPr>
          <w:p w:rsidR="00701C1A" w:rsidRDefault="00701C1A" w:rsidP="001F4EA2">
            <w:pPr>
              <w:jc w:val="right"/>
              <w:rPr>
                <w:rFonts w:ascii="Arial" w:hAnsi="Arial" w:cs="Arial"/>
                <w:sz w:val="20"/>
                <w:lang w:val="it-IT"/>
              </w:rPr>
            </w:pPr>
            <w:r>
              <w:rPr>
                <w:rFonts w:ascii="Arial" w:hAnsi="Arial" w:cs="Arial"/>
                <w:sz w:val="20"/>
              </w:rPr>
              <w:t>3,17%</w:t>
            </w:r>
          </w:p>
        </w:tc>
        <w:tc>
          <w:tcPr>
            <w:tcW w:w="1720" w:type="dxa"/>
            <w:tcBorders>
              <w:top w:val="dotted" w:sz="4" w:space="0" w:color="auto"/>
              <w:left w:val="nil"/>
              <w:bottom w:val="dotted" w:sz="4" w:space="0" w:color="auto"/>
              <w:right w:val="dotted" w:sz="4" w:space="0" w:color="auto"/>
            </w:tcBorders>
            <w:noWrap/>
            <w:vAlign w:val="center"/>
            <w:hideMark/>
          </w:tcPr>
          <w:p w:rsidR="00701C1A" w:rsidRDefault="00701C1A" w:rsidP="001F4EA2">
            <w:pPr>
              <w:jc w:val="right"/>
              <w:rPr>
                <w:rFonts w:ascii="Arial" w:hAnsi="Arial" w:cs="Arial"/>
                <w:color w:val="000000"/>
                <w:sz w:val="20"/>
                <w:lang w:val="it-IT"/>
              </w:rPr>
            </w:pPr>
            <w:r>
              <w:rPr>
                <w:rFonts w:ascii="Arial" w:hAnsi="Arial" w:cs="Arial"/>
                <w:color w:val="000000"/>
                <w:sz w:val="20"/>
              </w:rPr>
              <w:t>4,49%</w:t>
            </w:r>
          </w:p>
        </w:tc>
        <w:tc>
          <w:tcPr>
            <w:tcW w:w="1340" w:type="dxa"/>
            <w:tcBorders>
              <w:top w:val="dotted" w:sz="4" w:space="0" w:color="auto"/>
              <w:left w:val="nil"/>
              <w:bottom w:val="dotted" w:sz="4" w:space="0" w:color="auto"/>
              <w:right w:val="single" w:sz="4" w:space="0" w:color="auto"/>
            </w:tcBorders>
            <w:shd w:val="clear" w:color="auto" w:fill="FFFFFF"/>
            <w:noWrap/>
            <w:vAlign w:val="center"/>
            <w:hideMark/>
          </w:tcPr>
          <w:p w:rsidR="00701C1A" w:rsidRDefault="00701C1A" w:rsidP="001F4EA2">
            <w:pPr>
              <w:jc w:val="right"/>
              <w:rPr>
                <w:rFonts w:ascii="Arial" w:hAnsi="Arial" w:cs="Arial"/>
                <w:color w:val="000000"/>
                <w:sz w:val="20"/>
                <w:lang w:val="it-IT"/>
              </w:rPr>
            </w:pPr>
            <w:r>
              <w:rPr>
                <w:rFonts w:ascii="Arial" w:hAnsi="Arial" w:cs="Arial"/>
                <w:color w:val="000000"/>
                <w:sz w:val="20"/>
              </w:rPr>
              <w:t>-29,29%</w:t>
            </w:r>
          </w:p>
        </w:tc>
      </w:tr>
      <w:tr w:rsidR="00701C1A" w:rsidTr="001F4EA2">
        <w:trPr>
          <w:trHeight w:val="255"/>
        </w:trPr>
        <w:tc>
          <w:tcPr>
            <w:tcW w:w="5180" w:type="dxa"/>
            <w:tcBorders>
              <w:top w:val="dotted" w:sz="4" w:space="0" w:color="auto"/>
              <w:left w:val="single" w:sz="4" w:space="0" w:color="auto"/>
              <w:bottom w:val="dotted" w:sz="4" w:space="0" w:color="auto"/>
              <w:right w:val="nil"/>
            </w:tcBorders>
            <w:vAlign w:val="center"/>
            <w:hideMark/>
          </w:tcPr>
          <w:p w:rsidR="00701C1A" w:rsidRDefault="00701C1A" w:rsidP="001F4EA2">
            <w:pPr>
              <w:rPr>
                <w:rFonts w:ascii="Arial" w:hAnsi="Arial" w:cs="Arial"/>
                <w:color w:val="000000"/>
                <w:sz w:val="20"/>
                <w:lang w:val="it-IT"/>
              </w:rPr>
            </w:pPr>
            <w:r>
              <w:rPr>
                <w:rFonts w:ascii="Arial" w:hAnsi="Arial" w:cs="Arial"/>
                <w:color w:val="000000"/>
                <w:sz w:val="20"/>
              </w:rPr>
              <w:t>Tasso di copertura dei crediti deteriorati</w:t>
            </w:r>
          </w:p>
        </w:tc>
        <w:tc>
          <w:tcPr>
            <w:tcW w:w="2080" w:type="dxa"/>
            <w:tcBorders>
              <w:top w:val="nil"/>
              <w:left w:val="nil"/>
              <w:bottom w:val="dotted" w:sz="4" w:space="0" w:color="auto"/>
              <w:right w:val="dotted" w:sz="4" w:space="0" w:color="auto"/>
            </w:tcBorders>
            <w:shd w:val="clear" w:color="auto" w:fill="D8E4BC"/>
            <w:noWrap/>
            <w:vAlign w:val="center"/>
            <w:hideMark/>
          </w:tcPr>
          <w:p w:rsidR="00701C1A" w:rsidRDefault="00701C1A" w:rsidP="001F4EA2">
            <w:pPr>
              <w:jc w:val="right"/>
              <w:rPr>
                <w:rFonts w:ascii="Arial" w:hAnsi="Arial" w:cs="Arial"/>
                <w:sz w:val="20"/>
                <w:lang w:val="it-IT"/>
              </w:rPr>
            </w:pPr>
            <w:r>
              <w:rPr>
                <w:rFonts w:ascii="Arial" w:hAnsi="Arial" w:cs="Arial"/>
                <w:sz w:val="20"/>
              </w:rPr>
              <w:t>57,75%</w:t>
            </w:r>
          </w:p>
        </w:tc>
        <w:tc>
          <w:tcPr>
            <w:tcW w:w="1720" w:type="dxa"/>
            <w:tcBorders>
              <w:top w:val="nil"/>
              <w:left w:val="nil"/>
              <w:bottom w:val="dotted" w:sz="4" w:space="0" w:color="auto"/>
              <w:right w:val="dotted" w:sz="4" w:space="0" w:color="auto"/>
            </w:tcBorders>
            <w:noWrap/>
            <w:vAlign w:val="center"/>
            <w:hideMark/>
          </w:tcPr>
          <w:p w:rsidR="00701C1A" w:rsidRDefault="00701C1A" w:rsidP="001F4EA2">
            <w:pPr>
              <w:jc w:val="right"/>
              <w:rPr>
                <w:rFonts w:ascii="Arial" w:hAnsi="Arial" w:cs="Arial"/>
                <w:color w:val="000000"/>
                <w:sz w:val="20"/>
                <w:lang w:val="it-IT"/>
              </w:rPr>
            </w:pPr>
            <w:r>
              <w:rPr>
                <w:rFonts w:ascii="Arial" w:hAnsi="Arial" w:cs="Arial"/>
                <w:color w:val="000000"/>
                <w:sz w:val="20"/>
              </w:rPr>
              <w:t>48,09%</w:t>
            </w:r>
          </w:p>
        </w:tc>
        <w:tc>
          <w:tcPr>
            <w:tcW w:w="1340" w:type="dxa"/>
            <w:tcBorders>
              <w:top w:val="nil"/>
              <w:left w:val="nil"/>
              <w:bottom w:val="dotted" w:sz="4" w:space="0" w:color="auto"/>
              <w:right w:val="single" w:sz="4" w:space="0" w:color="auto"/>
            </w:tcBorders>
            <w:shd w:val="clear" w:color="auto" w:fill="FFFFFF"/>
            <w:noWrap/>
            <w:vAlign w:val="center"/>
            <w:hideMark/>
          </w:tcPr>
          <w:p w:rsidR="00701C1A" w:rsidRDefault="00701C1A" w:rsidP="001F4EA2">
            <w:pPr>
              <w:jc w:val="right"/>
              <w:rPr>
                <w:rFonts w:ascii="Arial" w:hAnsi="Arial" w:cs="Arial"/>
                <w:color w:val="000000"/>
                <w:sz w:val="20"/>
                <w:lang w:val="it-IT"/>
              </w:rPr>
            </w:pPr>
            <w:r>
              <w:rPr>
                <w:rFonts w:ascii="Arial" w:hAnsi="Arial" w:cs="Arial"/>
                <w:color w:val="000000"/>
                <w:sz w:val="20"/>
              </w:rPr>
              <w:t>20,09%</w:t>
            </w:r>
          </w:p>
        </w:tc>
      </w:tr>
      <w:tr w:rsidR="00701C1A" w:rsidTr="001F4EA2">
        <w:trPr>
          <w:trHeight w:val="285"/>
        </w:trPr>
        <w:tc>
          <w:tcPr>
            <w:tcW w:w="7260" w:type="dxa"/>
            <w:gridSpan w:val="2"/>
            <w:tcBorders>
              <w:top w:val="nil"/>
              <w:left w:val="single" w:sz="4" w:space="0" w:color="auto"/>
              <w:bottom w:val="nil"/>
              <w:right w:val="nil"/>
            </w:tcBorders>
            <w:shd w:val="clear" w:color="auto" w:fill="ECECEC"/>
            <w:noWrap/>
            <w:vAlign w:val="center"/>
            <w:hideMark/>
          </w:tcPr>
          <w:p w:rsidR="00701C1A" w:rsidRDefault="00701C1A" w:rsidP="001F4EA2">
            <w:pPr>
              <w:rPr>
                <w:rFonts w:ascii="Arial" w:hAnsi="Arial" w:cs="Arial"/>
                <w:color w:val="008000"/>
                <w:sz w:val="22"/>
                <w:lang w:val="it-IT"/>
              </w:rPr>
            </w:pPr>
            <w:r>
              <w:rPr>
                <w:rFonts w:ascii="Arial" w:hAnsi="Arial" w:cs="Arial"/>
                <w:color w:val="008000"/>
                <w:sz w:val="22"/>
              </w:rPr>
              <w:t>Sostenibilità - ASG (A = Ambiente, S = Sociale, G = Governance)</w:t>
            </w:r>
          </w:p>
        </w:tc>
        <w:tc>
          <w:tcPr>
            <w:tcW w:w="1720" w:type="dxa"/>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c>
          <w:tcPr>
            <w:tcW w:w="1340" w:type="dxa"/>
            <w:tcBorders>
              <w:top w:val="nil"/>
              <w:left w:val="nil"/>
              <w:bottom w:val="nil"/>
              <w:right w:val="single" w:sz="4" w:space="0" w:color="auto"/>
            </w:tcBorders>
            <w:shd w:val="clear" w:color="auto" w:fill="ECECEC"/>
            <w:noWrap/>
            <w:vAlign w:val="center"/>
            <w:hideMark/>
          </w:tcPr>
          <w:p w:rsidR="00701C1A" w:rsidRDefault="00701C1A" w:rsidP="001F4EA2">
            <w:pPr>
              <w:rPr>
                <w:rFonts w:ascii="Arial" w:hAnsi="Arial" w:cs="Arial"/>
                <w:b/>
                <w:i/>
                <w:iCs/>
                <w:color w:val="008000"/>
                <w:sz w:val="22"/>
                <w:lang w:val="it-IT"/>
              </w:rPr>
            </w:pPr>
            <w:r>
              <w:rPr>
                <w:rFonts w:ascii="Arial" w:hAnsi="Arial" w:cs="Arial"/>
                <w:b/>
                <w:i/>
                <w:iCs/>
                <w:color w:val="008000"/>
                <w:sz w:val="22"/>
              </w:rPr>
              <w:t> </w:t>
            </w:r>
          </w:p>
        </w:tc>
      </w:tr>
      <w:tr w:rsidR="00701C1A" w:rsidTr="001F4EA2">
        <w:trPr>
          <w:trHeight w:val="255"/>
        </w:trPr>
        <w:tc>
          <w:tcPr>
            <w:tcW w:w="5180" w:type="dxa"/>
            <w:tcBorders>
              <w:top w:val="dotted" w:sz="4" w:space="0" w:color="auto"/>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Carbon footprint (impronta di CO2)</w:t>
            </w:r>
          </w:p>
        </w:tc>
        <w:tc>
          <w:tcPr>
            <w:tcW w:w="2080" w:type="dxa"/>
            <w:tcBorders>
              <w:top w:val="dotted" w:sz="4" w:space="0" w:color="auto"/>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111,10</w:t>
            </w:r>
          </w:p>
        </w:tc>
        <w:tc>
          <w:tcPr>
            <w:tcW w:w="1720" w:type="dxa"/>
            <w:tcBorders>
              <w:top w:val="dotted" w:sz="4" w:space="0" w:color="auto"/>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244,56</w:t>
            </w:r>
          </w:p>
        </w:tc>
        <w:tc>
          <w:tcPr>
            <w:tcW w:w="1340" w:type="dxa"/>
            <w:tcBorders>
              <w:top w:val="dotted" w:sz="4" w:space="0" w:color="auto"/>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-54,57%</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Dipendenti</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201</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197</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2,03%</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Numero di donne</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85</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85</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0,00%</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Dipendenti con contratti part-time</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41</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42</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-2,38%</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Dipendenti con contratti a tempo indeterminato</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196</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186</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5,38%</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Valore economico generato</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71.652</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58.235</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23,04%</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Valore economico distribuito</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60.521</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53.673</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12,76%</w:t>
            </w:r>
          </w:p>
        </w:tc>
      </w:tr>
      <w:tr w:rsidR="00701C1A" w:rsidTr="001F4EA2">
        <w:trPr>
          <w:trHeight w:val="255"/>
        </w:trPr>
        <w:tc>
          <w:tcPr>
            <w:tcW w:w="5180" w:type="dxa"/>
            <w:tcBorders>
              <w:top w:val="nil"/>
              <w:left w:val="single" w:sz="4" w:space="0" w:color="auto"/>
              <w:bottom w:val="dotted" w:sz="4" w:space="0" w:color="auto"/>
              <w:right w:val="dotted" w:sz="4" w:space="0" w:color="auto"/>
            </w:tcBorders>
            <w:noWrap/>
            <w:vAlign w:val="bottom"/>
            <w:hideMark/>
          </w:tcPr>
          <w:p w:rsidR="00701C1A" w:rsidRDefault="00701C1A" w:rsidP="001F4EA2">
            <w:pPr>
              <w:rPr>
                <w:rFonts w:ascii="Arial" w:hAnsi="Arial" w:cs="Arial"/>
                <w:sz w:val="20"/>
                <w:lang w:val="it-IT"/>
              </w:rPr>
            </w:pPr>
            <w:r>
              <w:rPr>
                <w:rFonts w:ascii="Arial" w:hAnsi="Arial" w:cs="Arial"/>
                <w:sz w:val="20"/>
              </w:rPr>
              <w:t>Crediti per energie rinnovabili</w:t>
            </w:r>
          </w:p>
        </w:tc>
        <w:tc>
          <w:tcPr>
            <w:tcW w:w="2080" w:type="dxa"/>
            <w:tcBorders>
              <w:top w:val="nil"/>
              <w:left w:val="nil"/>
              <w:bottom w:val="dotted"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235.465</w:t>
            </w:r>
          </w:p>
        </w:tc>
        <w:tc>
          <w:tcPr>
            <w:tcW w:w="1720" w:type="dxa"/>
            <w:tcBorders>
              <w:top w:val="nil"/>
              <w:left w:val="nil"/>
              <w:bottom w:val="dotted"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238.824</w:t>
            </w:r>
          </w:p>
        </w:tc>
        <w:tc>
          <w:tcPr>
            <w:tcW w:w="1340" w:type="dxa"/>
            <w:tcBorders>
              <w:top w:val="nil"/>
              <w:left w:val="nil"/>
              <w:bottom w:val="dotted"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-1,41%</w:t>
            </w:r>
          </w:p>
        </w:tc>
      </w:tr>
      <w:tr w:rsidR="00701C1A" w:rsidTr="001F4EA2">
        <w:trPr>
          <w:trHeight w:val="255"/>
        </w:trPr>
        <w:tc>
          <w:tcPr>
            <w:tcW w:w="5180" w:type="dxa"/>
            <w:tcBorders>
              <w:top w:val="nil"/>
              <w:left w:val="single" w:sz="4" w:space="0" w:color="auto"/>
              <w:bottom w:val="single" w:sz="4" w:space="0" w:color="auto"/>
              <w:right w:val="nil"/>
            </w:tcBorders>
            <w:noWrap/>
            <w:hideMark/>
          </w:tcPr>
          <w:p w:rsidR="00701C1A" w:rsidRDefault="00701C1A" w:rsidP="001F4EA2">
            <w:pPr>
              <w:rPr>
                <w:rFonts w:ascii="Arial" w:hAnsi="Arial" w:cs="Arial"/>
                <w:color w:val="000000"/>
                <w:sz w:val="20"/>
                <w:lang w:val="it-IT"/>
              </w:rPr>
            </w:pPr>
            <w:r>
              <w:rPr>
                <w:rFonts w:ascii="Arial" w:hAnsi="Arial" w:cs="Arial"/>
                <w:color w:val="000000"/>
                <w:sz w:val="20"/>
              </w:rPr>
              <w:t xml:space="preserve">Fondi sostenibili </w:t>
            </w:r>
            <w:r>
              <w:rPr>
                <w:rFonts w:ascii="Arial" w:hAnsi="Arial" w:cs="Arial"/>
                <w:color w:val="000000"/>
                <w:sz w:val="16"/>
              </w:rPr>
              <w:t>(oltre 40 fondi di investimento sostenibili)</w:t>
            </w:r>
          </w:p>
        </w:tc>
        <w:tc>
          <w:tcPr>
            <w:tcW w:w="2080" w:type="dxa"/>
            <w:tcBorders>
              <w:top w:val="nil"/>
              <w:left w:val="dotted" w:sz="4" w:space="0" w:color="auto"/>
              <w:bottom w:val="single" w:sz="4" w:space="0" w:color="auto"/>
              <w:right w:val="dotted" w:sz="4" w:space="0" w:color="auto"/>
            </w:tcBorders>
            <w:shd w:val="clear" w:color="auto" w:fill="D8E4BC"/>
            <w:noWrap/>
            <w:vAlign w:val="bottom"/>
            <w:hideMark/>
          </w:tcPr>
          <w:p w:rsidR="00701C1A" w:rsidRDefault="00701C1A" w:rsidP="001F4EA2">
            <w:pPr>
              <w:jc w:val="right"/>
              <w:rPr>
                <w:rFonts w:ascii="Arial" w:hAnsi="Arial" w:cs="Arial"/>
                <w:sz w:val="20"/>
                <w:lang w:val="it-IT"/>
              </w:rPr>
            </w:pPr>
            <w:r>
              <w:rPr>
                <w:rFonts w:ascii="Arial" w:hAnsi="Arial" w:cs="Arial"/>
                <w:sz w:val="20"/>
              </w:rPr>
              <w:t>76.330</w:t>
            </w:r>
          </w:p>
        </w:tc>
        <w:tc>
          <w:tcPr>
            <w:tcW w:w="1720" w:type="dxa"/>
            <w:tcBorders>
              <w:top w:val="nil"/>
              <w:left w:val="nil"/>
              <w:bottom w:val="single" w:sz="4" w:space="0" w:color="auto"/>
              <w:right w:val="dotted" w:sz="4" w:space="0" w:color="auto"/>
            </w:tcBorders>
            <w:noWrap/>
            <w:vAlign w:val="bottom"/>
            <w:hideMark/>
          </w:tcPr>
          <w:p w:rsidR="00701C1A" w:rsidRDefault="00701C1A" w:rsidP="001F4EA2">
            <w:pPr>
              <w:jc w:val="right"/>
              <w:rPr>
                <w:rFonts w:ascii="Arial" w:hAnsi="Arial" w:cs="Arial"/>
                <w:sz w:val="20"/>
                <w:lang w:val="it-IT"/>
              </w:rPr>
            </w:pPr>
            <w:r>
              <w:rPr>
                <w:rFonts w:ascii="Arial" w:hAnsi="Arial" w:cs="Arial"/>
                <w:sz w:val="20"/>
              </w:rPr>
              <w:t>56.413</w:t>
            </w:r>
          </w:p>
        </w:tc>
        <w:tc>
          <w:tcPr>
            <w:tcW w:w="1340" w:type="dxa"/>
            <w:tcBorders>
              <w:top w:val="nil"/>
              <w:left w:val="nil"/>
              <w:bottom w:val="single" w:sz="4" w:space="0" w:color="auto"/>
              <w:right w:val="single" w:sz="4" w:space="0" w:color="auto"/>
            </w:tcBorders>
            <w:noWrap/>
            <w:vAlign w:val="bottom"/>
            <w:hideMark/>
          </w:tcPr>
          <w:p w:rsidR="00701C1A" w:rsidRDefault="00701C1A" w:rsidP="001F4EA2">
            <w:pPr>
              <w:jc w:val="right"/>
              <w:rPr>
                <w:rFonts w:ascii="Arial" w:hAnsi="Arial" w:cs="Arial"/>
                <w:color w:val="000000"/>
                <w:sz w:val="20"/>
                <w:lang w:val="it-IT"/>
              </w:rPr>
            </w:pPr>
            <w:r>
              <w:rPr>
                <w:rFonts w:ascii="Arial" w:hAnsi="Arial" w:cs="Arial"/>
                <w:color w:val="000000"/>
                <w:sz w:val="20"/>
              </w:rPr>
              <w:t>35,31%</w:t>
            </w:r>
          </w:p>
        </w:tc>
      </w:tr>
      <w:tr w:rsidR="00701C1A" w:rsidTr="001F4EA2">
        <w:trPr>
          <w:trHeight w:val="255"/>
        </w:trPr>
        <w:tc>
          <w:tcPr>
            <w:tcW w:w="5180" w:type="dxa"/>
            <w:noWrap/>
            <w:vAlign w:val="bottom"/>
            <w:hideMark/>
          </w:tcPr>
          <w:p w:rsidR="00701C1A" w:rsidRDefault="00701C1A" w:rsidP="001F4EA2">
            <w:pPr>
              <w:rPr>
                <w:sz w:val="20"/>
                <w:szCs w:val="20"/>
                <w:lang w:val="it-IT"/>
              </w:rPr>
            </w:pPr>
          </w:p>
        </w:tc>
        <w:tc>
          <w:tcPr>
            <w:tcW w:w="2080" w:type="dxa"/>
            <w:noWrap/>
            <w:vAlign w:val="bottom"/>
            <w:hideMark/>
          </w:tcPr>
          <w:p w:rsidR="00701C1A" w:rsidRDefault="00701C1A" w:rsidP="001F4EA2">
            <w:pPr>
              <w:rPr>
                <w:sz w:val="20"/>
                <w:szCs w:val="20"/>
                <w:lang w:val="it-IT"/>
              </w:rPr>
            </w:pPr>
          </w:p>
        </w:tc>
        <w:tc>
          <w:tcPr>
            <w:tcW w:w="1720" w:type="dxa"/>
            <w:noWrap/>
            <w:vAlign w:val="bottom"/>
            <w:hideMark/>
          </w:tcPr>
          <w:p w:rsidR="00701C1A" w:rsidRDefault="00701C1A" w:rsidP="001F4EA2">
            <w:pPr>
              <w:rPr>
                <w:sz w:val="20"/>
                <w:szCs w:val="20"/>
                <w:lang w:val="it-IT"/>
              </w:rPr>
            </w:pPr>
          </w:p>
        </w:tc>
        <w:tc>
          <w:tcPr>
            <w:tcW w:w="1340" w:type="dxa"/>
            <w:noWrap/>
            <w:vAlign w:val="bottom"/>
            <w:hideMark/>
          </w:tcPr>
          <w:p w:rsidR="00701C1A" w:rsidRDefault="00701C1A" w:rsidP="001F4EA2">
            <w:pPr>
              <w:rPr>
                <w:sz w:val="20"/>
                <w:szCs w:val="20"/>
                <w:lang w:val="it-IT"/>
              </w:rPr>
            </w:pPr>
          </w:p>
        </w:tc>
      </w:tr>
      <w:tr w:rsidR="00701C1A" w:rsidTr="001F4EA2">
        <w:trPr>
          <w:trHeight w:val="255"/>
        </w:trPr>
        <w:tc>
          <w:tcPr>
            <w:tcW w:w="10320" w:type="dxa"/>
            <w:gridSpan w:val="4"/>
            <w:noWrap/>
            <w:vAlign w:val="bottom"/>
            <w:hideMark/>
          </w:tcPr>
          <w:p w:rsidR="00701C1A" w:rsidRDefault="00701C1A" w:rsidP="001F4EA2">
            <w:pPr>
              <w:rPr>
                <w:rFonts w:ascii="Arial" w:hAnsi="Arial" w:cs="Arial"/>
                <w:i/>
                <w:iCs/>
                <w:sz w:val="16"/>
                <w:lang w:val="it-IT"/>
              </w:rPr>
            </w:pPr>
            <w:r>
              <w:rPr>
                <w:rFonts w:ascii="Arial" w:hAnsi="Arial" w:cs="Arial"/>
                <w:i/>
                <w:iCs/>
                <w:sz w:val="16"/>
              </w:rPr>
              <w:t>* Il tasso di NPL indica la quota di crediti deteriorati sul totale dei crediti lordi verso clientela</w:t>
            </w:r>
          </w:p>
        </w:tc>
      </w:tr>
      <w:tr w:rsidR="00701C1A" w:rsidTr="001F4EA2">
        <w:trPr>
          <w:trHeight w:val="255"/>
        </w:trPr>
        <w:tc>
          <w:tcPr>
            <w:tcW w:w="5180" w:type="dxa"/>
            <w:noWrap/>
            <w:vAlign w:val="bottom"/>
            <w:hideMark/>
          </w:tcPr>
          <w:p w:rsidR="00701C1A" w:rsidRDefault="00701C1A" w:rsidP="001F4EA2">
            <w:pPr>
              <w:rPr>
                <w:rFonts w:ascii="Arial" w:hAnsi="Arial" w:cs="Arial"/>
                <w:i/>
                <w:iCs/>
                <w:sz w:val="16"/>
                <w:lang w:val="it-IT"/>
              </w:rPr>
            </w:pPr>
            <w:r>
              <w:rPr>
                <w:rFonts w:ascii="Arial" w:hAnsi="Arial" w:cs="Arial"/>
                <w:i/>
                <w:iCs/>
                <w:sz w:val="16"/>
              </w:rPr>
              <w:t>** Rating per depositi bancari di lungo termine</w:t>
            </w:r>
          </w:p>
        </w:tc>
        <w:tc>
          <w:tcPr>
            <w:tcW w:w="2080" w:type="dxa"/>
            <w:noWrap/>
            <w:vAlign w:val="bottom"/>
            <w:hideMark/>
          </w:tcPr>
          <w:p w:rsidR="00701C1A" w:rsidRDefault="00701C1A" w:rsidP="001F4EA2">
            <w:pPr>
              <w:rPr>
                <w:sz w:val="20"/>
                <w:szCs w:val="20"/>
                <w:lang w:val="it-IT"/>
              </w:rPr>
            </w:pPr>
          </w:p>
        </w:tc>
        <w:tc>
          <w:tcPr>
            <w:tcW w:w="1720" w:type="dxa"/>
            <w:noWrap/>
            <w:vAlign w:val="bottom"/>
            <w:hideMark/>
          </w:tcPr>
          <w:p w:rsidR="00701C1A" w:rsidRDefault="00701C1A" w:rsidP="001F4EA2">
            <w:pPr>
              <w:rPr>
                <w:sz w:val="20"/>
                <w:szCs w:val="20"/>
                <w:lang w:val="it-IT"/>
              </w:rPr>
            </w:pPr>
          </w:p>
        </w:tc>
        <w:tc>
          <w:tcPr>
            <w:tcW w:w="1340" w:type="dxa"/>
            <w:noWrap/>
            <w:vAlign w:val="bottom"/>
            <w:hideMark/>
          </w:tcPr>
          <w:p w:rsidR="00701C1A" w:rsidRDefault="00701C1A" w:rsidP="001F4EA2">
            <w:pPr>
              <w:rPr>
                <w:sz w:val="20"/>
                <w:szCs w:val="20"/>
                <w:lang w:val="it-IT"/>
              </w:rPr>
            </w:pPr>
          </w:p>
        </w:tc>
      </w:tr>
    </w:tbl>
    <w:p w:rsidR="00701C1A" w:rsidRDefault="00701C1A">
      <w:pPr>
        <w:rPr>
          <w:rFonts w:ascii="Arial" w:hAnsi="Arial" w:cs="Arial"/>
          <w:color w:val="000000"/>
          <w:lang w:val="it-IT"/>
        </w:rPr>
      </w:pPr>
      <w:r>
        <w:rPr>
          <w:rFonts w:ascii="Arial" w:hAnsi="Arial" w:cs="Arial"/>
          <w:color w:val="000000"/>
          <w:lang w:val="it-IT"/>
        </w:rPr>
        <w:br w:type="page"/>
      </w:r>
    </w:p>
    <w:p w:rsidR="00701C1A" w:rsidRDefault="00701C1A">
      <w:pPr>
        <w:rPr>
          <w:rFonts w:ascii="Arial" w:hAnsi="Arial" w:cs="Arial"/>
          <w:color w:val="000000"/>
          <w:lang w:val="it-IT"/>
        </w:rPr>
      </w:pPr>
    </w:p>
    <w:p w:rsidR="00723A30" w:rsidRDefault="00723A30" w:rsidP="00723A30">
      <w:pPr>
        <w:jc w:val="both"/>
        <w:rPr>
          <w:rFonts w:ascii="Arial" w:hAnsi="Arial" w:cs="Arial"/>
          <w:color w:val="000000"/>
          <w:lang w:val="it-IT"/>
        </w:rPr>
      </w:pPr>
    </w:p>
    <w:p w:rsidR="003A6781" w:rsidRDefault="003A6781" w:rsidP="003A6781">
      <w:pPr>
        <w:autoSpaceDE w:val="0"/>
        <w:autoSpaceDN w:val="0"/>
        <w:adjustRightInd w:val="0"/>
        <w:rPr>
          <w:rFonts w:ascii="Arial" w:hAnsi="Arial" w:cs="Arial"/>
          <w:b/>
          <w:color w:val="000000"/>
          <w:lang w:val="it-IT"/>
        </w:rPr>
      </w:pPr>
      <w:r>
        <w:rPr>
          <w:rFonts w:ascii="Arial" w:hAnsi="Arial" w:cs="Arial"/>
          <w:b/>
          <w:color w:val="000000"/>
          <w:lang w:val="it-IT"/>
        </w:rPr>
        <w:t>Gli impieghi della Cassa Centrale Raiffeisen dell’Alto Adige</w:t>
      </w:r>
    </w:p>
    <w:p w:rsidR="003A6781" w:rsidRDefault="003A6781" w:rsidP="00723A30">
      <w:pPr>
        <w:jc w:val="both"/>
        <w:rPr>
          <w:rFonts w:ascii="Arial" w:hAnsi="Arial" w:cs="Arial"/>
          <w:color w:val="000000"/>
          <w:lang w:val="it-IT"/>
        </w:rPr>
      </w:pPr>
    </w:p>
    <w:p w:rsidR="00D8799F" w:rsidRDefault="00D8799F" w:rsidP="00723A30">
      <w:pPr>
        <w:jc w:val="both"/>
        <w:rPr>
          <w:rFonts w:ascii="Arial" w:hAnsi="Arial" w:cs="Arial"/>
          <w:color w:val="000000"/>
          <w:lang w:val="it-IT"/>
        </w:rPr>
      </w:pPr>
      <w:bookmarkStart w:id="0" w:name="_GoBack"/>
      <w:bookmarkEnd w:id="0"/>
    </w:p>
    <w:p w:rsidR="00701C1A" w:rsidRDefault="00D8799F" w:rsidP="00701C1A">
      <w:pPr>
        <w:jc w:val="both"/>
        <w:rPr>
          <w:rFonts w:ascii="Arial" w:hAnsi="Arial" w:cs="Arial"/>
        </w:rPr>
      </w:pPr>
      <w:r w:rsidRPr="00D8799F">
        <w:rPr>
          <w:rFonts w:ascii="Arial" w:hAnsi="Arial" w:cs="Arial"/>
          <w:color w:val="000000"/>
          <w:lang w:val="it-IT"/>
        </w:rPr>
        <w:drawing>
          <wp:inline distT="0" distB="0" distL="0" distR="0" wp14:anchorId="56E6A77E" wp14:editId="106035A7">
            <wp:extent cx="5760720" cy="338747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387470"/>
                    </a:xfrm>
                    <a:prstGeom prst="rect">
                      <a:avLst/>
                    </a:prstGeom>
                  </pic:spPr>
                </pic:pic>
              </a:graphicData>
            </a:graphic>
          </wp:inline>
        </w:drawing>
      </w:r>
    </w:p>
    <w:p w:rsidR="00701C1A" w:rsidRDefault="00701C1A" w:rsidP="00701C1A">
      <w:pPr>
        <w:jc w:val="both"/>
        <w:rPr>
          <w:rFonts w:ascii="Arial" w:hAnsi="Arial" w:cs="Arial"/>
        </w:rPr>
      </w:pPr>
    </w:p>
    <w:p w:rsidR="00701C1A" w:rsidRDefault="00701C1A" w:rsidP="00701C1A">
      <w:pPr>
        <w:jc w:val="both"/>
        <w:rPr>
          <w:rFonts w:ascii="Arial" w:hAnsi="Arial" w:cs="Arial"/>
        </w:rPr>
      </w:pPr>
    </w:p>
    <w:p w:rsidR="00701C1A" w:rsidRDefault="00701C1A" w:rsidP="00701C1A">
      <w:pPr>
        <w:jc w:val="both"/>
        <w:rPr>
          <w:rFonts w:ascii="Arial" w:hAnsi="Arial" w:cs="Arial"/>
        </w:rPr>
      </w:pPr>
      <w:r>
        <w:rPr>
          <w:rFonts w:ascii="Arial" w:hAnsi="Arial" w:cs="Arial"/>
        </w:rPr>
        <w:t>Bolzano, il 18 maggio 2020</w:t>
      </w:r>
    </w:p>
    <w:p w:rsidR="00723A30" w:rsidRPr="00CD631D" w:rsidRDefault="00723A30" w:rsidP="00723A30">
      <w:pPr>
        <w:jc w:val="both"/>
        <w:rPr>
          <w:rFonts w:ascii="Arial" w:hAnsi="Arial" w:cs="Arial"/>
          <w:sz w:val="22"/>
          <w:szCs w:val="22"/>
          <w:lang w:val="it-IT"/>
        </w:rPr>
      </w:pPr>
    </w:p>
    <w:p w:rsidR="009011D3" w:rsidRDefault="00723A30" w:rsidP="00723A30">
      <w:pPr>
        <w:jc w:val="both"/>
        <w:rPr>
          <w:rFonts w:ascii="Arial" w:hAnsi="Arial" w:cs="Arial"/>
          <w:sz w:val="20"/>
          <w:szCs w:val="20"/>
          <w:lang w:val="it"/>
        </w:rPr>
      </w:pPr>
      <w:r>
        <w:rPr>
          <w:rFonts w:ascii="Arial" w:hAnsi="Arial" w:cs="Arial"/>
          <w:sz w:val="20"/>
          <w:szCs w:val="20"/>
          <w:lang w:val="it"/>
        </w:rPr>
        <w:t xml:space="preserve">Per </w:t>
      </w:r>
      <w:proofErr w:type="gramStart"/>
      <w:r>
        <w:rPr>
          <w:rFonts w:ascii="Arial" w:hAnsi="Arial" w:cs="Arial"/>
          <w:sz w:val="20"/>
          <w:szCs w:val="20"/>
          <w:lang w:val="it"/>
        </w:rPr>
        <w:t>ulteriori</w:t>
      </w:r>
      <w:proofErr w:type="gramEnd"/>
      <w:r>
        <w:rPr>
          <w:rFonts w:ascii="Arial" w:hAnsi="Arial" w:cs="Arial"/>
          <w:sz w:val="20"/>
          <w:szCs w:val="20"/>
          <w:lang w:val="it"/>
        </w:rPr>
        <w:t xml:space="preserve"> informazioni si prega di rivolgersi a Christa Ratschiller</w:t>
      </w:r>
      <w:r>
        <w:rPr>
          <w:rFonts w:ascii="Arial" w:hAnsi="Arial" w:cs="Arial"/>
          <w:sz w:val="20"/>
          <w:szCs w:val="20"/>
          <w:lang w:val="it"/>
        </w:rPr>
        <w:tab/>
        <w:t>Telefono: 0471 946 502</w:t>
      </w:r>
      <w:r>
        <w:rPr>
          <w:rFonts w:ascii="Arial" w:hAnsi="Arial" w:cs="Arial"/>
          <w:sz w:val="20"/>
          <w:szCs w:val="20"/>
          <w:lang w:val="it"/>
        </w:rPr>
        <w:tab/>
      </w:r>
    </w:p>
    <w:p w:rsidR="00A56E81" w:rsidRDefault="00723A30" w:rsidP="009011D3">
      <w:pPr>
        <w:jc w:val="both"/>
        <w:rPr>
          <w:rFonts w:ascii="Arial" w:hAnsi="Arial" w:cs="Arial"/>
          <w:sz w:val="20"/>
          <w:szCs w:val="20"/>
          <w:lang w:val="it"/>
        </w:rPr>
      </w:pPr>
      <w:r>
        <w:rPr>
          <w:rFonts w:ascii="Arial" w:hAnsi="Arial" w:cs="Arial"/>
          <w:sz w:val="20"/>
          <w:szCs w:val="20"/>
          <w:lang w:val="it"/>
        </w:rPr>
        <w:t>Fax: 0471 946 610</w:t>
      </w:r>
      <w:r w:rsidR="009011D3">
        <w:rPr>
          <w:rFonts w:ascii="Arial" w:hAnsi="Arial" w:cs="Arial"/>
          <w:sz w:val="20"/>
          <w:szCs w:val="20"/>
          <w:lang w:val="it"/>
        </w:rPr>
        <w:t xml:space="preserve">      </w:t>
      </w:r>
      <w:r>
        <w:rPr>
          <w:rFonts w:ascii="Arial" w:hAnsi="Arial" w:cs="Arial"/>
          <w:sz w:val="20"/>
          <w:szCs w:val="20"/>
          <w:lang w:val="it"/>
        </w:rPr>
        <w:t xml:space="preserve">e-mail: </w:t>
      </w:r>
      <w:hyperlink r:id="rId11" w:history="1">
        <w:r>
          <w:rPr>
            <w:rFonts w:ascii="Arial" w:hAnsi="Arial" w:cs="Arial"/>
            <w:sz w:val="20"/>
            <w:szCs w:val="20"/>
            <w:lang w:val="it"/>
          </w:rPr>
          <w:t>christa.ratschiller@raiffeisen.it</w:t>
        </w:r>
      </w:hyperlink>
    </w:p>
    <w:p w:rsidR="00701C1A" w:rsidRDefault="00701C1A" w:rsidP="009011D3">
      <w:pPr>
        <w:jc w:val="both"/>
        <w:rPr>
          <w:rFonts w:ascii="Arial" w:hAnsi="Arial" w:cs="Arial"/>
          <w:sz w:val="20"/>
          <w:szCs w:val="20"/>
          <w:lang w:val="it"/>
        </w:rPr>
      </w:pPr>
    </w:p>
    <w:p w:rsidR="00701C1A" w:rsidRDefault="00701C1A" w:rsidP="009011D3">
      <w:pPr>
        <w:jc w:val="both"/>
        <w:rPr>
          <w:rFonts w:ascii="Arial" w:hAnsi="Arial" w:cs="Arial"/>
          <w:sz w:val="20"/>
          <w:szCs w:val="20"/>
          <w:lang w:val="it"/>
        </w:rPr>
      </w:pPr>
    </w:p>
    <w:sectPr w:rsidR="00701C1A">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15" w:rsidRDefault="002C4015">
      <w:r>
        <w:separator/>
      </w:r>
    </w:p>
  </w:endnote>
  <w:endnote w:type="continuationSeparator" w:id="0">
    <w:p w:rsidR="002C4015" w:rsidRDefault="002C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11" w:rsidRDefault="007B69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B6911" w:rsidRDefault="007B691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11" w:rsidRDefault="007B69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8799F">
      <w:rPr>
        <w:rStyle w:val="Seitenzahl"/>
        <w:noProof/>
      </w:rPr>
      <w:t>2</w:t>
    </w:r>
    <w:r>
      <w:rPr>
        <w:rStyle w:val="Seitenzahl"/>
      </w:rPr>
      <w:fldChar w:fldCharType="end"/>
    </w:r>
    <w:r w:rsidR="00EB04B3">
      <w:rPr>
        <w:rStyle w:val="Seitenzahl"/>
      </w:rPr>
      <w:t>/</w:t>
    </w:r>
    <w:r w:rsidR="00EB04B3">
      <w:rPr>
        <w:rStyle w:val="Seitenzahl"/>
      </w:rPr>
      <w:fldChar w:fldCharType="begin"/>
    </w:r>
    <w:r w:rsidR="00EB04B3">
      <w:rPr>
        <w:rStyle w:val="Seitenzahl"/>
      </w:rPr>
      <w:instrText xml:space="preserve"> NUMPAGES </w:instrText>
    </w:r>
    <w:r w:rsidR="00EB04B3">
      <w:rPr>
        <w:rStyle w:val="Seitenzahl"/>
      </w:rPr>
      <w:fldChar w:fldCharType="separate"/>
    </w:r>
    <w:r w:rsidR="00D8799F">
      <w:rPr>
        <w:rStyle w:val="Seitenzahl"/>
        <w:noProof/>
      </w:rPr>
      <w:t>6</w:t>
    </w:r>
    <w:r w:rsidR="00EB04B3">
      <w:rPr>
        <w:rStyle w:val="Seitenzahl"/>
      </w:rPr>
      <w:fldChar w:fldCharType="end"/>
    </w:r>
  </w:p>
  <w:p w:rsidR="007B6911" w:rsidRDefault="007B691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15" w:rsidRDefault="002C4015">
      <w:r>
        <w:separator/>
      </w:r>
    </w:p>
  </w:footnote>
  <w:footnote w:type="continuationSeparator" w:id="0">
    <w:p w:rsidR="002C4015" w:rsidRDefault="002C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2C2C"/>
    <w:rsid w:val="000038AB"/>
    <w:rsid w:val="00011746"/>
    <w:rsid w:val="0001517E"/>
    <w:rsid w:val="000172C9"/>
    <w:rsid w:val="000233F1"/>
    <w:rsid w:val="00041318"/>
    <w:rsid w:val="00042438"/>
    <w:rsid w:val="00060530"/>
    <w:rsid w:val="0006587D"/>
    <w:rsid w:val="0006669D"/>
    <w:rsid w:val="0006727E"/>
    <w:rsid w:val="00074CB9"/>
    <w:rsid w:val="00074FEB"/>
    <w:rsid w:val="00075A98"/>
    <w:rsid w:val="00081153"/>
    <w:rsid w:val="0008286C"/>
    <w:rsid w:val="00084B06"/>
    <w:rsid w:val="000901BC"/>
    <w:rsid w:val="000975AA"/>
    <w:rsid w:val="000A29EA"/>
    <w:rsid w:val="000B4974"/>
    <w:rsid w:val="000C049F"/>
    <w:rsid w:val="000C31DC"/>
    <w:rsid w:val="000C44DF"/>
    <w:rsid w:val="000E0AFA"/>
    <w:rsid w:val="000E24EA"/>
    <w:rsid w:val="000E6FF8"/>
    <w:rsid w:val="000F6DCD"/>
    <w:rsid w:val="000F7DA5"/>
    <w:rsid w:val="00106032"/>
    <w:rsid w:val="00111AE9"/>
    <w:rsid w:val="00116385"/>
    <w:rsid w:val="00124759"/>
    <w:rsid w:val="00126BF3"/>
    <w:rsid w:val="00130092"/>
    <w:rsid w:val="001369E4"/>
    <w:rsid w:val="00140863"/>
    <w:rsid w:val="00152ED6"/>
    <w:rsid w:val="001532D7"/>
    <w:rsid w:val="00162366"/>
    <w:rsid w:val="0016318C"/>
    <w:rsid w:val="00164CCF"/>
    <w:rsid w:val="0017307D"/>
    <w:rsid w:val="00180012"/>
    <w:rsid w:val="0018054D"/>
    <w:rsid w:val="00180566"/>
    <w:rsid w:val="001806AB"/>
    <w:rsid w:val="00185893"/>
    <w:rsid w:val="001A6ECA"/>
    <w:rsid w:val="001A7B90"/>
    <w:rsid w:val="001B40A1"/>
    <w:rsid w:val="001B4AFF"/>
    <w:rsid w:val="001B58D2"/>
    <w:rsid w:val="001B691A"/>
    <w:rsid w:val="001C1BE1"/>
    <w:rsid w:val="001C52A3"/>
    <w:rsid w:val="001C5DD7"/>
    <w:rsid w:val="001C60B2"/>
    <w:rsid w:val="002131AE"/>
    <w:rsid w:val="0021671E"/>
    <w:rsid w:val="00225422"/>
    <w:rsid w:val="002349CE"/>
    <w:rsid w:val="002372DA"/>
    <w:rsid w:val="002402ED"/>
    <w:rsid w:val="00243CEC"/>
    <w:rsid w:val="00247FE5"/>
    <w:rsid w:val="002534E9"/>
    <w:rsid w:val="002576D3"/>
    <w:rsid w:val="002615D1"/>
    <w:rsid w:val="00267102"/>
    <w:rsid w:val="00277A85"/>
    <w:rsid w:val="0028252F"/>
    <w:rsid w:val="00290446"/>
    <w:rsid w:val="00295CBF"/>
    <w:rsid w:val="00297203"/>
    <w:rsid w:val="002B15C4"/>
    <w:rsid w:val="002C0875"/>
    <w:rsid w:val="002C0D2A"/>
    <w:rsid w:val="002C1410"/>
    <w:rsid w:val="002C4015"/>
    <w:rsid w:val="002D0F13"/>
    <w:rsid w:val="002D3ED8"/>
    <w:rsid w:val="002E0A9F"/>
    <w:rsid w:val="002F2C2D"/>
    <w:rsid w:val="00300618"/>
    <w:rsid w:val="00302512"/>
    <w:rsid w:val="0030271E"/>
    <w:rsid w:val="00312FDD"/>
    <w:rsid w:val="00316DCB"/>
    <w:rsid w:val="00322855"/>
    <w:rsid w:val="003259F2"/>
    <w:rsid w:val="00331EA7"/>
    <w:rsid w:val="0034458A"/>
    <w:rsid w:val="00352918"/>
    <w:rsid w:val="00353F9E"/>
    <w:rsid w:val="00354444"/>
    <w:rsid w:val="003549A6"/>
    <w:rsid w:val="00370814"/>
    <w:rsid w:val="00382034"/>
    <w:rsid w:val="00390B5E"/>
    <w:rsid w:val="003917B8"/>
    <w:rsid w:val="003A6781"/>
    <w:rsid w:val="003A68E1"/>
    <w:rsid w:val="003B19BB"/>
    <w:rsid w:val="003C6FDB"/>
    <w:rsid w:val="003D0863"/>
    <w:rsid w:val="003D5165"/>
    <w:rsid w:val="003E38CF"/>
    <w:rsid w:val="003E79BC"/>
    <w:rsid w:val="004036CB"/>
    <w:rsid w:val="00404800"/>
    <w:rsid w:val="0041083C"/>
    <w:rsid w:val="00417DB9"/>
    <w:rsid w:val="00420BAE"/>
    <w:rsid w:val="00432D7E"/>
    <w:rsid w:val="00443593"/>
    <w:rsid w:val="00444D5F"/>
    <w:rsid w:val="00446790"/>
    <w:rsid w:val="00447882"/>
    <w:rsid w:val="00460E3B"/>
    <w:rsid w:val="004645DD"/>
    <w:rsid w:val="0046670B"/>
    <w:rsid w:val="00470D85"/>
    <w:rsid w:val="004741DB"/>
    <w:rsid w:val="00481500"/>
    <w:rsid w:val="00483758"/>
    <w:rsid w:val="004852BB"/>
    <w:rsid w:val="004875D2"/>
    <w:rsid w:val="00492247"/>
    <w:rsid w:val="00493DE9"/>
    <w:rsid w:val="004B29AB"/>
    <w:rsid w:val="004B6895"/>
    <w:rsid w:val="004B7464"/>
    <w:rsid w:val="004C4C63"/>
    <w:rsid w:val="004C70F3"/>
    <w:rsid w:val="004D4A84"/>
    <w:rsid w:val="004E23C4"/>
    <w:rsid w:val="004E4789"/>
    <w:rsid w:val="004E6C9E"/>
    <w:rsid w:val="004F12E0"/>
    <w:rsid w:val="00503018"/>
    <w:rsid w:val="00512D47"/>
    <w:rsid w:val="00517D67"/>
    <w:rsid w:val="0052263B"/>
    <w:rsid w:val="0052341B"/>
    <w:rsid w:val="00530085"/>
    <w:rsid w:val="0053463A"/>
    <w:rsid w:val="0053575F"/>
    <w:rsid w:val="00540D56"/>
    <w:rsid w:val="00541A16"/>
    <w:rsid w:val="005530D1"/>
    <w:rsid w:val="00553818"/>
    <w:rsid w:val="00557715"/>
    <w:rsid w:val="00562DC3"/>
    <w:rsid w:val="00573151"/>
    <w:rsid w:val="0057584A"/>
    <w:rsid w:val="00576E93"/>
    <w:rsid w:val="00576F07"/>
    <w:rsid w:val="00580A95"/>
    <w:rsid w:val="00580C57"/>
    <w:rsid w:val="00586CAB"/>
    <w:rsid w:val="00597E35"/>
    <w:rsid w:val="005B013F"/>
    <w:rsid w:val="005B6060"/>
    <w:rsid w:val="005B7DCB"/>
    <w:rsid w:val="005C2906"/>
    <w:rsid w:val="005C45FC"/>
    <w:rsid w:val="005D6B4D"/>
    <w:rsid w:val="005E33F7"/>
    <w:rsid w:val="005E49E9"/>
    <w:rsid w:val="005F117D"/>
    <w:rsid w:val="005F59A9"/>
    <w:rsid w:val="0060047E"/>
    <w:rsid w:val="00607A46"/>
    <w:rsid w:val="0062166D"/>
    <w:rsid w:val="00634D27"/>
    <w:rsid w:val="00647027"/>
    <w:rsid w:val="006578D2"/>
    <w:rsid w:val="006655B5"/>
    <w:rsid w:val="00666852"/>
    <w:rsid w:val="006866B5"/>
    <w:rsid w:val="00694AB5"/>
    <w:rsid w:val="006A36E6"/>
    <w:rsid w:val="006A3F94"/>
    <w:rsid w:val="006A471F"/>
    <w:rsid w:val="006B11AB"/>
    <w:rsid w:val="006B6562"/>
    <w:rsid w:val="006B7B28"/>
    <w:rsid w:val="006C7F33"/>
    <w:rsid w:val="006D67D3"/>
    <w:rsid w:val="006E40FE"/>
    <w:rsid w:val="006E76C5"/>
    <w:rsid w:val="006F1B48"/>
    <w:rsid w:val="006F6879"/>
    <w:rsid w:val="006F732F"/>
    <w:rsid w:val="0070095F"/>
    <w:rsid w:val="00701C1A"/>
    <w:rsid w:val="00704EE2"/>
    <w:rsid w:val="00710298"/>
    <w:rsid w:val="0071431E"/>
    <w:rsid w:val="00723A30"/>
    <w:rsid w:val="00726FF9"/>
    <w:rsid w:val="0073669A"/>
    <w:rsid w:val="00742A70"/>
    <w:rsid w:val="00745D6C"/>
    <w:rsid w:val="00746D37"/>
    <w:rsid w:val="007535FB"/>
    <w:rsid w:val="00757A1F"/>
    <w:rsid w:val="007608FB"/>
    <w:rsid w:val="00772EFD"/>
    <w:rsid w:val="00775ABF"/>
    <w:rsid w:val="007930CC"/>
    <w:rsid w:val="007A79AC"/>
    <w:rsid w:val="007B6911"/>
    <w:rsid w:val="007D1A8D"/>
    <w:rsid w:val="007D34D6"/>
    <w:rsid w:val="007D45A0"/>
    <w:rsid w:val="007D61F9"/>
    <w:rsid w:val="007E10D9"/>
    <w:rsid w:val="007E13B8"/>
    <w:rsid w:val="007E7624"/>
    <w:rsid w:val="007F2CEF"/>
    <w:rsid w:val="007F31D2"/>
    <w:rsid w:val="008023CC"/>
    <w:rsid w:val="008031F1"/>
    <w:rsid w:val="00806FA1"/>
    <w:rsid w:val="00807AD3"/>
    <w:rsid w:val="00811FC2"/>
    <w:rsid w:val="008207CA"/>
    <w:rsid w:val="00831D06"/>
    <w:rsid w:val="00836C72"/>
    <w:rsid w:val="00843966"/>
    <w:rsid w:val="00853A7F"/>
    <w:rsid w:val="008565DC"/>
    <w:rsid w:val="00856F68"/>
    <w:rsid w:val="00865228"/>
    <w:rsid w:val="00866DF4"/>
    <w:rsid w:val="00866F56"/>
    <w:rsid w:val="00885675"/>
    <w:rsid w:val="008A0D42"/>
    <w:rsid w:val="008A636C"/>
    <w:rsid w:val="008A6467"/>
    <w:rsid w:val="008B1FA8"/>
    <w:rsid w:val="008C13BC"/>
    <w:rsid w:val="008C743B"/>
    <w:rsid w:val="008D1B92"/>
    <w:rsid w:val="008D6106"/>
    <w:rsid w:val="008E7695"/>
    <w:rsid w:val="008F3026"/>
    <w:rsid w:val="00900240"/>
    <w:rsid w:val="009011D3"/>
    <w:rsid w:val="00903788"/>
    <w:rsid w:val="00906603"/>
    <w:rsid w:val="00910961"/>
    <w:rsid w:val="00940D1E"/>
    <w:rsid w:val="00943FE8"/>
    <w:rsid w:val="009528BF"/>
    <w:rsid w:val="00954AA2"/>
    <w:rsid w:val="009607F0"/>
    <w:rsid w:val="00964ECA"/>
    <w:rsid w:val="009710AA"/>
    <w:rsid w:val="00971A93"/>
    <w:rsid w:val="00972E7D"/>
    <w:rsid w:val="0098645E"/>
    <w:rsid w:val="00990987"/>
    <w:rsid w:val="00993ED7"/>
    <w:rsid w:val="009A426C"/>
    <w:rsid w:val="009B2049"/>
    <w:rsid w:val="009B46EC"/>
    <w:rsid w:val="009B7223"/>
    <w:rsid w:val="009B789D"/>
    <w:rsid w:val="009C320D"/>
    <w:rsid w:val="009D4721"/>
    <w:rsid w:val="009D6E72"/>
    <w:rsid w:val="009E148B"/>
    <w:rsid w:val="009E3291"/>
    <w:rsid w:val="009E3380"/>
    <w:rsid w:val="009E7E81"/>
    <w:rsid w:val="009F027A"/>
    <w:rsid w:val="009F21AD"/>
    <w:rsid w:val="009F52D3"/>
    <w:rsid w:val="009F73AD"/>
    <w:rsid w:val="00A04E13"/>
    <w:rsid w:val="00A0651D"/>
    <w:rsid w:val="00A12CEC"/>
    <w:rsid w:val="00A163A3"/>
    <w:rsid w:val="00A41781"/>
    <w:rsid w:val="00A438EF"/>
    <w:rsid w:val="00A51074"/>
    <w:rsid w:val="00A56E81"/>
    <w:rsid w:val="00A56EDB"/>
    <w:rsid w:val="00A65750"/>
    <w:rsid w:val="00A66E8E"/>
    <w:rsid w:val="00A813F7"/>
    <w:rsid w:val="00A83A24"/>
    <w:rsid w:val="00A8492E"/>
    <w:rsid w:val="00A87254"/>
    <w:rsid w:val="00A9187A"/>
    <w:rsid w:val="00A92B4E"/>
    <w:rsid w:val="00AA76C9"/>
    <w:rsid w:val="00AB0A1A"/>
    <w:rsid w:val="00AB1883"/>
    <w:rsid w:val="00AB5E16"/>
    <w:rsid w:val="00AC1C94"/>
    <w:rsid w:val="00AD50FC"/>
    <w:rsid w:val="00AD51EA"/>
    <w:rsid w:val="00AE085A"/>
    <w:rsid w:val="00AF2C6E"/>
    <w:rsid w:val="00AF3836"/>
    <w:rsid w:val="00AF3F20"/>
    <w:rsid w:val="00AF4C32"/>
    <w:rsid w:val="00B00BDE"/>
    <w:rsid w:val="00B02392"/>
    <w:rsid w:val="00B04810"/>
    <w:rsid w:val="00B12469"/>
    <w:rsid w:val="00B2437C"/>
    <w:rsid w:val="00B24FED"/>
    <w:rsid w:val="00B258C3"/>
    <w:rsid w:val="00B33D12"/>
    <w:rsid w:val="00B35C79"/>
    <w:rsid w:val="00B43FA1"/>
    <w:rsid w:val="00B45908"/>
    <w:rsid w:val="00B477AF"/>
    <w:rsid w:val="00B60C43"/>
    <w:rsid w:val="00B651DD"/>
    <w:rsid w:val="00B70D54"/>
    <w:rsid w:val="00B807F1"/>
    <w:rsid w:val="00B919BC"/>
    <w:rsid w:val="00B93165"/>
    <w:rsid w:val="00BA0A72"/>
    <w:rsid w:val="00BA6A8F"/>
    <w:rsid w:val="00BB3366"/>
    <w:rsid w:val="00BB386F"/>
    <w:rsid w:val="00BB4725"/>
    <w:rsid w:val="00BC3070"/>
    <w:rsid w:val="00BC44C7"/>
    <w:rsid w:val="00BD091A"/>
    <w:rsid w:val="00BD1C99"/>
    <w:rsid w:val="00BD570F"/>
    <w:rsid w:val="00BE4E02"/>
    <w:rsid w:val="00BE5B63"/>
    <w:rsid w:val="00C017C3"/>
    <w:rsid w:val="00C02345"/>
    <w:rsid w:val="00C06A8A"/>
    <w:rsid w:val="00C15022"/>
    <w:rsid w:val="00C24A03"/>
    <w:rsid w:val="00C307A7"/>
    <w:rsid w:val="00C3252B"/>
    <w:rsid w:val="00C555DD"/>
    <w:rsid w:val="00C571BB"/>
    <w:rsid w:val="00C60384"/>
    <w:rsid w:val="00C71B4B"/>
    <w:rsid w:val="00C95CA1"/>
    <w:rsid w:val="00C968A9"/>
    <w:rsid w:val="00CA2805"/>
    <w:rsid w:val="00CA57A6"/>
    <w:rsid w:val="00CC27B8"/>
    <w:rsid w:val="00CC5591"/>
    <w:rsid w:val="00CE6F86"/>
    <w:rsid w:val="00CF0B2B"/>
    <w:rsid w:val="00CF5E28"/>
    <w:rsid w:val="00CF7CD2"/>
    <w:rsid w:val="00D05DD2"/>
    <w:rsid w:val="00D072D1"/>
    <w:rsid w:val="00D11D28"/>
    <w:rsid w:val="00D14C6B"/>
    <w:rsid w:val="00D203C3"/>
    <w:rsid w:val="00D206C5"/>
    <w:rsid w:val="00D23173"/>
    <w:rsid w:val="00D23CC0"/>
    <w:rsid w:val="00D25951"/>
    <w:rsid w:val="00D2632C"/>
    <w:rsid w:val="00D3130D"/>
    <w:rsid w:val="00D324CB"/>
    <w:rsid w:val="00D4193E"/>
    <w:rsid w:val="00D454C5"/>
    <w:rsid w:val="00D47A0A"/>
    <w:rsid w:val="00D53464"/>
    <w:rsid w:val="00D537E9"/>
    <w:rsid w:val="00D540F4"/>
    <w:rsid w:val="00D616AD"/>
    <w:rsid w:val="00D83447"/>
    <w:rsid w:val="00D8799F"/>
    <w:rsid w:val="00D9621B"/>
    <w:rsid w:val="00D96597"/>
    <w:rsid w:val="00DA601B"/>
    <w:rsid w:val="00DA762E"/>
    <w:rsid w:val="00DC2990"/>
    <w:rsid w:val="00DD5174"/>
    <w:rsid w:val="00DE05B0"/>
    <w:rsid w:val="00DE0EDE"/>
    <w:rsid w:val="00DE5B21"/>
    <w:rsid w:val="00E16606"/>
    <w:rsid w:val="00E16942"/>
    <w:rsid w:val="00E22407"/>
    <w:rsid w:val="00E44A28"/>
    <w:rsid w:val="00E46B1E"/>
    <w:rsid w:val="00E47597"/>
    <w:rsid w:val="00E47DA4"/>
    <w:rsid w:val="00E74C2C"/>
    <w:rsid w:val="00E83D07"/>
    <w:rsid w:val="00E865F6"/>
    <w:rsid w:val="00E90E18"/>
    <w:rsid w:val="00E92F89"/>
    <w:rsid w:val="00EA03EC"/>
    <w:rsid w:val="00EA240D"/>
    <w:rsid w:val="00EA3D7B"/>
    <w:rsid w:val="00EA6019"/>
    <w:rsid w:val="00EA7E8E"/>
    <w:rsid w:val="00EB04B3"/>
    <w:rsid w:val="00EC49AC"/>
    <w:rsid w:val="00EC571F"/>
    <w:rsid w:val="00ED36CC"/>
    <w:rsid w:val="00EE51EC"/>
    <w:rsid w:val="00EE64C6"/>
    <w:rsid w:val="00EE7B02"/>
    <w:rsid w:val="00EF3EFC"/>
    <w:rsid w:val="00EF7A96"/>
    <w:rsid w:val="00F035DA"/>
    <w:rsid w:val="00F04395"/>
    <w:rsid w:val="00F046EC"/>
    <w:rsid w:val="00F13DB3"/>
    <w:rsid w:val="00F14D82"/>
    <w:rsid w:val="00F17B6D"/>
    <w:rsid w:val="00F4261B"/>
    <w:rsid w:val="00F432AD"/>
    <w:rsid w:val="00F4779F"/>
    <w:rsid w:val="00F50930"/>
    <w:rsid w:val="00F552BC"/>
    <w:rsid w:val="00F55F4B"/>
    <w:rsid w:val="00F60B0B"/>
    <w:rsid w:val="00F70772"/>
    <w:rsid w:val="00F73A65"/>
    <w:rsid w:val="00F74B2C"/>
    <w:rsid w:val="00F825C4"/>
    <w:rsid w:val="00F95D2F"/>
    <w:rsid w:val="00F97EF6"/>
    <w:rsid w:val="00FB3EE1"/>
    <w:rsid w:val="00FC232D"/>
    <w:rsid w:val="00FC66F6"/>
    <w:rsid w:val="00FD0261"/>
    <w:rsid w:val="00FD479C"/>
    <w:rsid w:val="00FE419C"/>
    <w:rsid w:val="00FE64CD"/>
    <w:rsid w:val="00FF2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paragraph" w:styleId="berschrift4">
    <w:name w:val="heading 4"/>
    <w:basedOn w:val="Standard"/>
    <w:next w:val="Standard"/>
    <w:qFormat/>
    <w:rsid w:val="00BE5B6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widowControl w:val="0"/>
      <w:spacing w:before="120"/>
      <w:jc w:val="both"/>
    </w:pPr>
    <w:rPr>
      <w:rFonts w:ascii="Arial" w:hAnsi="Arial"/>
      <w:sz w:val="20"/>
      <w:szCs w:val="20"/>
    </w:rPr>
  </w:style>
  <w:style w:type="paragraph" w:styleId="Textkrper2">
    <w:name w:val="Body Text 2"/>
    <w:basedOn w:val="Standard"/>
    <w:rsid w:val="00041318"/>
    <w:pPr>
      <w:spacing w:after="120" w:line="480" w:lineRule="auto"/>
    </w:pPr>
  </w:style>
  <w:style w:type="character" w:styleId="Funotenzeichen">
    <w:name w:val="footnote reference"/>
    <w:semiHidden/>
    <w:rsid w:val="00DE5B21"/>
    <w:rPr>
      <w:vertAlign w:val="superscript"/>
    </w:rPr>
  </w:style>
  <w:style w:type="paragraph" w:styleId="Funotentext">
    <w:name w:val="footnote text"/>
    <w:basedOn w:val="Standard"/>
    <w:semiHidden/>
    <w:rsid w:val="00DE5B21"/>
    <w:pPr>
      <w:overflowPunct w:val="0"/>
      <w:autoSpaceDE w:val="0"/>
      <w:autoSpaceDN w:val="0"/>
      <w:adjustRightInd w:val="0"/>
      <w:textAlignment w:val="baseline"/>
    </w:pPr>
    <w:rPr>
      <w:sz w:val="20"/>
      <w:szCs w:val="20"/>
    </w:rPr>
  </w:style>
  <w:style w:type="paragraph" w:styleId="Sprechblasentext">
    <w:name w:val="Balloon Text"/>
    <w:basedOn w:val="Standard"/>
    <w:semiHidden/>
    <w:rsid w:val="00074CB9"/>
    <w:rPr>
      <w:rFonts w:ascii="Tahoma" w:hAnsi="Tahoma" w:cs="Tahoma"/>
      <w:sz w:val="16"/>
      <w:szCs w:val="16"/>
    </w:rPr>
  </w:style>
  <w:style w:type="paragraph" w:styleId="Kopfzeile">
    <w:name w:val="header"/>
    <w:basedOn w:val="Standard"/>
    <w:rsid w:val="00EB04B3"/>
    <w:pPr>
      <w:tabs>
        <w:tab w:val="center" w:pos="4536"/>
        <w:tab w:val="right" w:pos="9072"/>
      </w:tabs>
    </w:pPr>
  </w:style>
  <w:style w:type="character" w:customStyle="1" w:styleId="berschrift3Zchn">
    <w:name w:val="Überschrift 3 Zchn"/>
    <w:link w:val="berschrift3"/>
    <w:locked/>
    <w:rsid w:val="00FB3EE1"/>
    <w:rPr>
      <w:rFonts w:ascii="Arial" w:hAnsi="Arial"/>
      <w:b/>
      <w:sz w:val="26"/>
    </w:rPr>
  </w:style>
  <w:style w:type="character" w:customStyle="1" w:styleId="Textkrper3Zchn">
    <w:name w:val="Textkörper 3 Zchn"/>
    <w:link w:val="Textkrper3"/>
    <w:rsid w:val="0057584A"/>
    <w:rPr>
      <w:rFonts w:ascii="Arial" w:hAnsi="Arial"/>
    </w:rPr>
  </w:style>
  <w:style w:type="paragraph" w:customStyle="1" w:styleId="Textkrper210">
    <w:name w:val="Textkörper 21"/>
    <w:basedOn w:val="Standard"/>
    <w:rsid w:val="00885675"/>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22">
    <w:name w:val="Textkörper 22"/>
    <w:basedOn w:val="Standard"/>
    <w:rsid w:val="000975AA"/>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D2632C"/>
    <w:pPr>
      <w:spacing w:after="200" w:line="276" w:lineRule="auto"/>
      <w:ind w:left="720"/>
      <w:contextualSpacing/>
    </w:pPr>
    <w:rPr>
      <w:rFonts w:ascii="Calibri" w:eastAsia="Calibri" w:hAnsi="Calibri"/>
      <w:sz w:val="22"/>
      <w:szCs w:val="22"/>
      <w:lang w:eastAsia="en-US"/>
    </w:rPr>
  </w:style>
  <w:style w:type="character" w:customStyle="1" w:styleId="Flietext1">
    <w:name w:val="Fließtext1"/>
    <w:uiPriority w:val="99"/>
    <w:rsid w:val="005B7DCB"/>
    <w:rPr>
      <w:rFonts w:ascii="Arial" w:hAnsi="Arial" w:cs="Arial"/>
      <w:color w:val="000000"/>
      <w:spacing w:val="2"/>
      <w:sz w:val="20"/>
      <w:szCs w:val="20"/>
    </w:rPr>
  </w:style>
  <w:style w:type="paragraph" w:customStyle="1" w:styleId="FlietextZwischentitel">
    <w:name w:val="Fließtext Zwischentitel"/>
    <w:basedOn w:val="Standard"/>
    <w:uiPriority w:val="99"/>
    <w:rsid w:val="00084B06"/>
    <w:pPr>
      <w:keepNext/>
      <w:keepLines/>
      <w:autoSpaceDE w:val="0"/>
      <w:autoSpaceDN w:val="0"/>
      <w:adjustRightInd w:val="0"/>
      <w:spacing w:before="283" w:after="57" w:line="280" w:lineRule="atLeast"/>
      <w:textAlignment w:val="center"/>
    </w:pPr>
    <w:rPr>
      <w:rFonts w:ascii="Arial" w:eastAsia="Calibri" w:hAnsi="Arial" w:cs="Arial"/>
      <w:color w:val="000000"/>
      <w:spacing w:val="2"/>
      <w:sz w:val="20"/>
      <w:szCs w:val="20"/>
      <w:lang w:eastAsia="en-US"/>
    </w:rPr>
  </w:style>
  <w:style w:type="paragraph" w:customStyle="1" w:styleId="Funote">
    <w:name w:val="Fußnote"/>
    <w:basedOn w:val="Standard"/>
    <w:uiPriority w:val="99"/>
    <w:rsid w:val="00F04395"/>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styleId="Zitat">
    <w:name w:val="Quote"/>
    <w:basedOn w:val="Standard"/>
    <w:next w:val="Standard"/>
    <w:link w:val="ZitatZchn"/>
    <w:uiPriority w:val="29"/>
    <w:qFormat/>
    <w:rsid w:val="00C71B4B"/>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71B4B"/>
    <w:rPr>
      <w:rFonts w:asciiTheme="minorHAnsi" w:eastAsiaTheme="minorEastAsia" w:hAnsiTheme="minorHAnsi" w:cstheme="minorBidi"/>
      <w:i/>
      <w:iCs/>
      <w:color w:val="000000" w:themeColor="text1"/>
      <w:sz w:val="22"/>
      <w:szCs w:val="22"/>
    </w:rPr>
  </w:style>
  <w:style w:type="character" w:styleId="Kommentarzeichen">
    <w:name w:val="annotation reference"/>
    <w:basedOn w:val="Absatz-Standardschriftart"/>
    <w:unhideWhenUsed/>
    <w:rsid w:val="000E24EA"/>
    <w:rPr>
      <w:sz w:val="16"/>
      <w:szCs w:val="16"/>
    </w:rPr>
  </w:style>
  <w:style w:type="paragraph" w:styleId="Kommentartext">
    <w:name w:val="annotation text"/>
    <w:basedOn w:val="Standard"/>
    <w:link w:val="KommentartextZchn"/>
    <w:unhideWhenUsed/>
    <w:rsid w:val="000E24EA"/>
    <w:rPr>
      <w:sz w:val="20"/>
      <w:szCs w:val="20"/>
    </w:rPr>
  </w:style>
  <w:style w:type="character" w:customStyle="1" w:styleId="KommentartextZchn">
    <w:name w:val="Kommentartext Zchn"/>
    <w:basedOn w:val="Absatz-Standardschriftart"/>
    <w:link w:val="Kommentartext"/>
    <w:rsid w:val="000E24EA"/>
  </w:style>
  <w:style w:type="character" w:styleId="Hervorhebung">
    <w:name w:val="Emphasis"/>
    <w:basedOn w:val="Absatz-Standardschriftart"/>
    <w:uiPriority w:val="20"/>
    <w:qFormat/>
    <w:rsid w:val="00775ABF"/>
    <w:rPr>
      <w:i/>
      <w:iCs/>
    </w:rPr>
  </w:style>
  <w:style w:type="character" w:customStyle="1" w:styleId="text18">
    <w:name w:val="text18"/>
    <w:basedOn w:val="Absatz-Standardschriftart"/>
    <w:rsid w:val="0077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paragraph" w:styleId="berschrift4">
    <w:name w:val="heading 4"/>
    <w:basedOn w:val="Standard"/>
    <w:next w:val="Standard"/>
    <w:qFormat/>
    <w:rsid w:val="00BE5B6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widowControl w:val="0"/>
      <w:spacing w:before="120"/>
      <w:jc w:val="both"/>
    </w:pPr>
    <w:rPr>
      <w:rFonts w:ascii="Arial" w:hAnsi="Arial"/>
      <w:sz w:val="20"/>
      <w:szCs w:val="20"/>
    </w:rPr>
  </w:style>
  <w:style w:type="paragraph" w:styleId="Textkrper2">
    <w:name w:val="Body Text 2"/>
    <w:basedOn w:val="Standard"/>
    <w:rsid w:val="00041318"/>
    <w:pPr>
      <w:spacing w:after="120" w:line="480" w:lineRule="auto"/>
    </w:pPr>
  </w:style>
  <w:style w:type="character" w:styleId="Funotenzeichen">
    <w:name w:val="footnote reference"/>
    <w:semiHidden/>
    <w:rsid w:val="00DE5B21"/>
    <w:rPr>
      <w:vertAlign w:val="superscript"/>
    </w:rPr>
  </w:style>
  <w:style w:type="paragraph" w:styleId="Funotentext">
    <w:name w:val="footnote text"/>
    <w:basedOn w:val="Standard"/>
    <w:semiHidden/>
    <w:rsid w:val="00DE5B21"/>
    <w:pPr>
      <w:overflowPunct w:val="0"/>
      <w:autoSpaceDE w:val="0"/>
      <w:autoSpaceDN w:val="0"/>
      <w:adjustRightInd w:val="0"/>
      <w:textAlignment w:val="baseline"/>
    </w:pPr>
    <w:rPr>
      <w:sz w:val="20"/>
      <w:szCs w:val="20"/>
    </w:rPr>
  </w:style>
  <w:style w:type="paragraph" w:styleId="Sprechblasentext">
    <w:name w:val="Balloon Text"/>
    <w:basedOn w:val="Standard"/>
    <w:semiHidden/>
    <w:rsid w:val="00074CB9"/>
    <w:rPr>
      <w:rFonts w:ascii="Tahoma" w:hAnsi="Tahoma" w:cs="Tahoma"/>
      <w:sz w:val="16"/>
      <w:szCs w:val="16"/>
    </w:rPr>
  </w:style>
  <w:style w:type="paragraph" w:styleId="Kopfzeile">
    <w:name w:val="header"/>
    <w:basedOn w:val="Standard"/>
    <w:rsid w:val="00EB04B3"/>
    <w:pPr>
      <w:tabs>
        <w:tab w:val="center" w:pos="4536"/>
        <w:tab w:val="right" w:pos="9072"/>
      </w:tabs>
    </w:pPr>
  </w:style>
  <w:style w:type="character" w:customStyle="1" w:styleId="berschrift3Zchn">
    <w:name w:val="Überschrift 3 Zchn"/>
    <w:link w:val="berschrift3"/>
    <w:locked/>
    <w:rsid w:val="00FB3EE1"/>
    <w:rPr>
      <w:rFonts w:ascii="Arial" w:hAnsi="Arial"/>
      <w:b/>
      <w:sz w:val="26"/>
    </w:rPr>
  </w:style>
  <w:style w:type="character" w:customStyle="1" w:styleId="Textkrper3Zchn">
    <w:name w:val="Textkörper 3 Zchn"/>
    <w:link w:val="Textkrper3"/>
    <w:rsid w:val="0057584A"/>
    <w:rPr>
      <w:rFonts w:ascii="Arial" w:hAnsi="Arial"/>
    </w:rPr>
  </w:style>
  <w:style w:type="paragraph" w:customStyle="1" w:styleId="Textkrper210">
    <w:name w:val="Textkörper 21"/>
    <w:basedOn w:val="Standard"/>
    <w:rsid w:val="00885675"/>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22">
    <w:name w:val="Textkörper 22"/>
    <w:basedOn w:val="Standard"/>
    <w:rsid w:val="000975AA"/>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D2632C"/>
    <w:pPr>
      <w:spacing w:after="200" w:line="276" w:lineRule="auto"/>
      <w:ind w:left="720"/>
      <w:contextualSpacing/>
    </w:pPr>
    <w:rPr>
      <w:rFonts w:ascii="Calibri" w:eastAsia="Calibri" w:hAnsi="Calibri"/>
      <w:sz w:val="22"/>
      <w:szCs w:val="22"/>
      <w:lang w:eastAsia="en-US"/>
    </w:rPr>
  </w:style>
  <w:style w:type="character" w:customStyle="1" w:styleId="Flietext1">
    <w:name w:val="Fließtext1"/>
    <w:uiPriority w:val="99"/>
    <w:rsid w:val="005B7DCB"/>
    <w:rPr>
      <w:rFonts w:ascii="Arial" w:hAnsi="Arial" w:cs="Arial"/>
      <w:color w:val="000000"/>
      <w:spacing w:val="2"/>
      <w:sz w:val="20"/>
      <w:szCs w:val="20"/>
    </w:rPr>
  </w:style>
  <w:style w:type="paragraph" w:customStyle="1" w:styleId="FlietextZwischentitel">
    <w:name w:val="Fließtext Zwischentitel"/>
    <w:basedOn w:val="Standard"/>
    <w:uiPriority w:val="99"/>
    <w:rsid w:val="00084B06"/>
    <w:pPr>
      <w:keepNext/>
      <w:keepLines/>
      <w:autoSpaceDE w:val="0"/>
      <w:autoSpaceDN w:val="0"/>
      <w:adjustRightInd w:val="0"/>
      <w:spacing w:before="283" w:after="57" w:line="280" w:lineRule="atLeast"/>
      <w:textAlignment w:val="center"/>
    </w:pPr>
    <w:rPr>
      <w:rFonts w:ascii="Arial" w:eastAsia="Calibri" w:hAnsi="Arial" w:cs="Arial"/>
      <w:color w:val="000000"/>
      <w:spacing w:val="2"/>
      <w:sz w:val="20"/>
      <w:szCs w:val="20"/>
      <w:lang w:eastAsia="en-US"/>
    </w:rPr>
  </w:style>
  <w:style w:type="paragraph" w:customStyle="1" w:styleId="Funote">
    <w:name w:val="Fußnote"/>
    <w:basedOn w:val="Standard"/>
    <w:uiPriority w:val="99"/>
    <w:rsid w:val="00F04395"/>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styleId="Zitat">
    <w:name w:val="Quote"/>
    <w:basedOn w:val="Standard"/>
    <w:next w:val="Standard"/>
    <w:link w:val="ZitatZchn"/>
    <w:uiPriority w:val="29"/>
    <w:qFormat/>
    <w:rsid w:val="00C71B4B"/>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71B4B"/>
    <w:rPr>
      <w:rFonts w:asciiTheme="minorHAnsi" w:eastAsiaTheme="minorEastAsia" w:hAnsiTheme="minorHAnsi" w:cstheme="minorBidi"/>
      <w:i/>
      <w:iCs/>
      <w:color w:val="000000" w:themeColor="text1"/>
      <w:sz w:val="22"/>
      <w:szCs w:val="22"/>
    </w:rPr>
  </w:style>
  <w:style w:type="character" w:styleId="Kommentarzeichen">
    <w:name w:val="annotation reference"/>
    <w:basedOn w:val="Absatz-Standardschriftart"/>
    <w:unhideWhenUsed/>
    <w:rsid w:val="000E24EA"/>
    <w:rPr>
      <w:sz w:val="16"/>
      <w:szCs w:val="16"/>
    </w:rPr>
  </w:style>
  <w:style w:type="paragraph" w:styleId="Kommentartext">
    <w:name w:val="annotation text"/>
    <w:basedOn w:val="Standard"/>
    <w:link w:val="KommentartextZchn"/>
    <w:unhideWhenUsed/>
    <w:rsid w:val="000E24EA"/>
    <w:rPr>
      <w:sz w:val="20"/>
      <w:szCs w:val="20"/>
    </w:rPr>
  </w:style>
  <w:style w:type="character" w:customStyle="1" w:styleId="KommentartextZchn">
    <w:name w:val="Kommentartext Zchn"/>
    <w:basedOn w:val="Absatz-Standardschriftart"/>
    <w:link w:val="Kommentartext"/>
    <w:rsid w:val="000E24EA"/>
  </w:style>
  <w:style w:type="character" w:styleId="Hervorhebung">
    <w:name w:val="Emphasis"/>
    <w:basedOn w:val="Absatz-Standardschriftart"/>
    <w:uiPriority w:val="20"/>
    <w:qFormat/>
    <w:rsid w:val="00775ABF"/>
    <w:rPr>
      <w:i/>
      <w:iCs/>
    </w:rPr>
  </w:style>
  <w:style w:type="character" w:customStyle="1" w:styleId="text18">
    <w:name w:val="text18"/>
    <w:basedOn w:val="Absatz-Standardschriftart"/>
    <w:rsid w:val="0077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7477">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1174610108">
      <w:bodyDiv w:val="1"/>
      <w:marLeft w:val="0"/>
      <w:marRight w:val="0"/>
      <w:marTop w:val="0"/>
      <w:marBottom w:val="0"/>
      <w:divBdr>
        <w:top w:val="none" w:sz="0" w:space="0" w:color="auto"/>
        <w:left w:val="none" w:sz="0" w:space="0" w:color="auto"/>
        <w:bottom w:val="none" w:sz="0" w:space="0" w:color="auto"/>
        <w:right w:val="none" w:sz="0" w:space="0" w:color="auto"/>
      </w:divBdr>
    </w:div>
    <w:div w:id="1692292049">
      <w:bodyDiv w:val="1"/>
      <w:marLeft w:val="0"/>
      <w:marRight w:val="0"/>
      <w:marTop w:val="0"/>
      <w:marBottom w:val="0"/>
      <w:divBdr>
        <w:top w:val="none" w:sz="0" w:space="0" w:color="auto"/>
        <w:left w:val="none" w:sz="0" w:space="0" w:color="auto"/>
        <w:bottom w:val="none" w:sz="0" w:space="0" w:color="auto"/>
        <w:right w:val="none" w:sz="0" w:space="0" w:color="auto"/>
      </w:divBdr>
    </w:div>
    <w:div w:id="1977684433">
      <w:bodyDiv w:val="1"/>
      <w:marLeft w:val="0"/>
      <w:marRight w:val="0"/>
      <w:marTop w:val="0"/>
      <w:marBottom w:val="0"/>
      <w:divBdr>
        <w:top w:val="none" w:sz="0" w:space="0" w:color="auto"/>
        <w:left w:val="none" w:sz="0" w:space="0" w:color="auto"/>
        <w:bottom w:val="none" w:sz="0" w:space="0" w:color="auto"/>
        <w:right w:val="none" w:sz="0" w:space="0" w:color="auto"/>
      </w:divBdr>
    </w:div>
    <w:div w:id="2101414569">
      <w:bodyDiv w:val="1"/>
      <w:marLeft w:val="0"/>
      <w:marRight w:val="0"/>
      <w:marTop w:val="0"/>
      <w:marBottom w:val="0"/>
      <w:divBdr>
        <w:top w:val="none" w:sz="0" w:space="0" w:color="auto"/>
        <w:left w:val="none" w:sz="0" w:space="0" w:color="auto"/>
        <w:bottom w:val="none" w:sz="0" w:space="0" w:color="auto"/>
        <w:right w:val="none" w:sz="0" w:space="0" w:color="auto"/>
      </w:divBdr>
    </w:div>
    <w:div w:id="21141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a.ratschiller@raiffeisen.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A6AC-A96E-47A7-8CE1-6F5E1D66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10749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12544</CharactersWithSpaces>
  <SharedDoc>false</SharedDoc>
  <HLinks>
    <vt:vector size="6" baseType="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Christa Ratschiller</cp:lastModifiedBy>
  <cp:revision>3</cp:revision>
  <cp:lastPrinted>2019-04-09T15:05:00Z</cp:lastPrinted>
  <dcterms:created xsi:type="dcterms:W3CDTF">2020-05-13T08:30:00Z</dcterms:created>
  <dcterms:modified xsi:type="dcterms:W3CDTF">2020-05-13T08:33:00Z</dcterms:modified>
</cp:coreProperties>
</file>