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4A" w:rsidRDefault="004E5B4A" w:rsidP="004E5B4A">
      <w:pPr>
        <w:jc w:val="right"/>
        <w:rPr>
          <w:color w:val="000000"/>
        </w:rPr>
      </w:pPr>
      <w:r>
        <w:rPr>
          <w:noProof/>
          <w:color w:val="000000"/>
        </w:rPr>
        <w:drawing>
          <wp:inline distT="0" distB="0" distL="0" distR="0" wp14:anchorId="7BEC6E09" wp14:editId="38465983">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4E5B4A" w:rsidRDefault="004E5B4A" w:rsidP="004E5B4A">
      <w:pPr>
        <w:jc w:val="center"/>
        <w:rPr>
          <w:color w:val="000000"/>
        </w:rPr>
      </w:pPr>
    </w:p>
    <w:p w:rsidR="004E5B4A" w:rsidRPr="004E07EC" w:rsidRDefault="004E5B4A" w:rsidP="004E5B4A">
      <w:pPr>
        <w:rPr>
          <w:rFonts w:ascii="Arial" w:hAnsi="Arial" w:cs="Arial"/>
          <w:bCs/>
          <w:color w:val="000000"/>
          <w:sz w:val="22"/>
        </w:rPr>
      </w:pPr>
    </w:p>
    <w:p w:rsidR="004E5B4A" w:rsidRDefault="004E5B4A" w:rsidP="004E5B4A">
      <w:pPr>
        <w:pStyle w:val="berschrift3"/>
        <w:overflowPunct/>
        <w:autoSpaceDE/>
        <w:autoSpaceDN/>
        <w:adjustRightInd/>
        <w:textAlignment w:val="auto"/>
        <w:rPr>
          <w:rFonts w:cs="Arial"/>
          <w:color w:val="000000"/>
          <w:sz w:val="24"/>
          <w:szCs w:val="24"/>
        </w:rPr>
      </w:pPr>
    </w:p>
    <w:p w:rsidR="004E5B4A" w:rsidRPr="00AB2EA8" w:rsidRDefault="004E5B4A" w:rsidP="004E5B4A"/>
    <w:p w:rsidR="004E5B4A" w:rsidRPr="00F51FAC" w:rsidRDefault="004E5B4A" w:rsidP="004E5B4A">
      <w:pPr>
        <w:pStyle w:val="berschrift3"/>
        <w:overflowPunct/>
        <w:autoSpaceDE/>
        <w:autoSpaceDN/>
        <w:adjustRightInd/>
        <w:textAlignment w:val="auto"/>
        <w:rPr>
          <w:rFonts w:cs="Arial"/>
          <w:color w:val="000000"/>
          <w:sz w:val="24"/>
          <w:szCs w:val="24"/>
        </w:rPr>
      </w:pPr>
      <w:r>
        <w:rPr>
          <w:rFonts w:cs="Arial"/>
          <w:color w:val="000000"/>
          <w:sz w:val="24"/>
          <w:szCs w:val="24"/>
        </w:rPr>
        <w:t>Gesellschafter</w:t>
      </w:r>
      <w:r w:rsidRPr="00F51FAC">
        <w:rPr>
          <w:rFonts w:cs="Arial"/>
          <w:color w:val="000000"/>
          <w:sz w:val="24"/>
          <w:szCs w:val="24"/>
        </w:rPr>
        <w:t>versammlung der Raiffeisen Landesbank Südtirol AG:</w:t>
      </w:r>
    </w:p>
    <w:p w:rsidR="004E5B4A" w:rsidRPr="00F51FAC" w:rsidRDefault="004E5B4A" w:rsidP="004E5B4A"/>
    <w:p w:rsidR="00C22FFA" w:rsidRPr="00A54C59" w:rsidRDefault="00C22FFA" w:rsidP="00C22FFA">
      <w:pPr>
        <w:rPr>
          <w:rFonts w:ascii="Arial" w:hAnsi="Arial" w:cs="Arial"/>
          <w:b/>
          <w:color w:val="000000" w:themeColor="text1"/>
        </w:rPr>
      </w:pPr>
    </w:p>
    <w:p w:rsidR="00C22FFA" w:rsidRPr="00A54C59" w:rsidRDefault="00161072" w:rsidP="00C22FFA">
      <w:pPr>
        <w:rPr>
          <w:rFonts w:ascii="Arial" w:hAnsi="Arial" w:cs="Arial"/>
          <w:b/>
          <w:color w:val="000000" w:themeColor="text1"/>
        </w:rPr>
      </w:pPr>
      <w:r>
        <w:rPr>
          <w:rFonts w:ascii="Arial" w:hAnsi="Arial" w:cs="Arial"/>
          <w:b/>
          <w:color w:val="000000" w:themeColor="text1"/>
        </w:rPr>
        <w:t xml:space="preserve">2019: </w:t>
      </w:r>
      <w:r w:rsidR="00B730AB" w:rsidRPr="00A54C59">
        <w:rPr>
          <w:rFonts w:ascii="Arial" w:hAnsi="Arial" w:cs="Arial"/>
          <w:b/>
          <w:color w:val="000000" w:themeColor="text1"/>
        </w:rPr>
        <w:t>Top-E</w:t>
      </w:r>
      <w:r w:rsidR="00C22FFA" w:rsidRPr="00A54C59">
        <w:rPr>
          <w:rFonts w:ascii="Arial" w:hAnsi="Arial" w:cs="Arial"/>
          <w:b/>
          <w:color w:val="000000" w:themeColor="text1"/>
        </w:rPr>
        <w:t>rgebnisse bei Einlagen, Kreditvolumen und Reingewinn. Hervorragende Kreditqualität: Eine solide Ausgangsposition, um bei der Gestaltung der Zukunft Südtirols tatkräftig mitzuarbeiten.</w:t>
      </w:r>
      <w:r w:rsidR="000967A6" w:rsidRPr="00A54C59">
        <w:rPr>
          <w:rFonts w:ascii="Arial" w:hAnsi="Arial" w:cs="Arial"/>
          <w:b/>
          <w:color w:val="000000" w:themeColor="text1"/>
        </w:rPr>
        <w:t xml:space="preserve"> Erstmals Nachhaltigkeitsbericht erstellt.</w:t>
      </w:r>
    </w:p>
    <w:p w:rsidR="00252B9F" w:rsidRPr="00A54C59" w:rsidRDefault="00252B9F" w:rsidP="00252B9F">
      <w:pPr>
        <w:pStyle w:val="berschrift3"/>
        <w:overflowPunct/>
        <w:autoSpaceDE/>
        <w:autoSpaceDN/>
        <w:adjustRightInd/>
        <w:textAlignment w:val="auto"/>
        <w:rPr>
          <w:rFonts w:cs="Arial"/>
          <w:color w:val="000000" w:themeColor="text1"/>
          <w:sz w:val="24"/>
          <w:szCs w:val="24"/>
        </w:rPr>
      </w:pPr>
    </w:p>
    <w:p w:rsidR="00AB2EA8" w:rsidRPr="00A54C59" w:rsidRDefault="00AB2EA8" w:rsidP="00AB2EA8">
      <w:pPr>
        <w:rPr>
          <w:color w:val="000000" w:themeColor="text1"/>
        </w:rPr>
      </w:pPr>
    </w:p>
    <w:p w:rsidR="00F9336E" w:rsidRPr="00A54C59" w:rsidRDefault="00F9336E" w:rsidP="00AB2EA8">
      <w:pPr>
        <w:rPr>
          <w:color w:val="000000" w:themeColor="text1"/>
        </w:rPr>
      </w:pPr>
    </w:p>
    <w:p w:rsidR="00F9336E" w:rsidRPr="00A54C59" w:rsidRDefault="00F81360" w:rsidP="00F9336E">
      <w:pPr>
        <w:rPr>
          <w:rFonts w:ascii="Arial" w:hAnsi="Arial" w:cs="Arial"/>
          <w:b/>
          <w:color w:val="000000" w:themeColor="text1"/>
        </w:rPr>
      </w:pPr>
      <w:r w:rsidRPr="00A54C59">
        <w:rPr>
          <w:rFonts w:ascii="Arial" w:hAnsi="Arial" w:cs="Arial"/>
          <w:b/>
          <w:color w:val="000000" w:themeColor="text1"/>
        </w:rPr>
        <w:t>Die Raiff</w:t>
      </w:r>
      <w:r w:rsidR="008B5224" w:rsidRPr="00A54C59">
        <w:rPr>
          <w:rFonts w:ascii="Arial" w:hAnsi="Arial" w:cs="Arial"/>
          <w:b/>
          <w:color w:val="000000" w:themeColor="text1"/>
        </w:rPr>
        <w:t>eisen Landesbank Südtirol AG hat</w:t>
      </w:r>
      <w:r w:rsidRPr="00A54C59">
        <w:rPr>
          <w:rFonts w:ascii="Arial" w:hAnsi="Arial" w:cs="Arial"/>
          <w:b/>
          <w:color w:val="000000" w:themeColor="text1"/>
        </w:rPr>
        <w:t xml:space="preserve"> das Jahr 201</w:t>
      </w:r>
      <w:r w:rsidR="009773D6" w:rsidRPr="00A54C59">
        <w:rPr>
          <w:rFonts w:ascii="Arial" w:hAnsi="Arial" w:cs="Arial"/>
          <w:b/>
          <w:color w:val="000000" w:themeColor="text1"/>
        </w:rPr>
        <w:t>9</w:t>
      </w:r>
      <w:r w:rsidRPr="00A54C59">
        <w:rPr>
          <w:rFonts w:ascii="Arial" w:hAnsi="Arial" w:cs="Arial"/>
          <w:b/>
          <w:color w:val="000000" w:themeColor="text1"/>
        </w:rPr>
        <w:t xml:space="preserve"> mit </w:t>
      </w:r>
      <w:r w:rsidR="009773D6" w:rsidRPr="00A54C59">
        <w:rPr>
          <w:rFonts w:ascii="Arial" w:hAnsi="Arial" w:cs="Arial"/>
          <w:b/>
          <w:color w:val="000000" w:themeColor="text1"/>
        </w:rPr>
        <w:t>außerordentlich</w:t>
      </w:r>
      <w:r w:rsidR="00031274" w:rsidRPr="00A54C59">
        <w:rPr>
          <w:rFonts w:ascii="Arial" w:hAnsi="Arial" w:cs="Arial"/>
          <w:b/>
          <w:color w:val="000000" w:themeColor="text1"/>
        </w:rPr>
        <w:t xml:space="preserve"> guten</w:t>
      </w:r>
      <w:r w:rsidR="00B721A0" w:rsidRPr="00A54C59">
        <w:rPr>
          <w:rFonts w:ascii="Arial" w:hAnsi="Arial" w:cs="Arial"/>
          <w:b/>
          <w:color w:val="000000" w:themeColor="text1"/>
        </w:rPr>
        <w:t xml:space="preserve"> Ergebnissen ab</w:t>
      </w:r>
      <w:r w:rsidR="008B5224" w:rsidRPr="00A54C59">
        <w:rPr>
          <w:rFonts w:ascii="Arial" w:hAnsi="Arial" w:cs="Arial"/>
          <w:b/>
          <w:color w:val="000000" w:themeColor="text1"/>
        </w:rPr>
        <w:t>geschlossen</w:t>
      </w:r>
      <w:r w:rsidR="00B721A0" w:rsidRPr="00A54C59">
        <w:rPr>
          <w:rFonts w:ascii="Arial" w:hAnsi="Arial" w:cs="Arial"/>
          <w:b/>
          <w:color w:val="000000" w:themeColor="text1"/>
        </w:rPr>
        <w:t xml:space="preserve">. </w:t>
      </w:r>
      <w:r w:rsidR="00031274" w:rsidRPr="00A54C59">
        <w:rPr>
          <w:rFonts w:ascii="Arial" w:hAnsi="Arial" w:cs="Arial"/>
          <w:b/>
          <w:color w:val="000000" w:themeColor="text1"/>
        </w:rPr>
        <w:t>Die gesammelten Kundeneinlagen mit +</w:t>
      </w:r>
      <w:r w:rsidR="00B721A0" w:rsidRPr="00A54C59">
        <w:rPr>
          <w:rFonts w:ascii="Arial" w:hAnsi="Arial" w:cs="Arial"/>
          <w:b/>
          <w:color w:val="000000" w:themeColor="text1"/>
        </w:rPr>
        <w:t>8</w:t>
      </w:r>
      <w:r w:rsidR="00031274" w:rsidRPr="00A54C59">
        <w:rPr>
          <w:rFonts w:ascii="Arial" w:hAnsi="Arial" w:cs="Arial"/>
          <w:b/>
          <w:color w:val="000000" w:themeColor="text1"/>
        </w:rPr>
        <w:t>,1</w:t>
      </w:r>
      <w:r w:rsidR="00B721A0" w:rsidRPr="00A54C59">
        <w:rPr>
          <w:rFonts w:ascii="Arial" w:hAnsi="Arial" w:cs="Arial"/>
          <w:b/>
          <w:color w:val="000000" w:themeColor="text1"/>
        </w:rPr>
        <w:t>7</w:t>
      </w:r>
      <w:r w:rsidR="00031274" w:rsidRPr="00A54C59">
        <w:rPr>
          <w:rFonts w:ascii="Arial" w:hAnsi="Arial" w:cs="Arial"/>
          <w:b/>
          <w:color w:val="000000" w:themeColor="text1"/>
        </w:rPr>
        <w:t xml:space="preserve">% </w:t>
      </w:r>
      <w:r w:rsidR="00B721A0" w:rsidRPr="00A54C59">
        <w:rPr>
          <w:rFonts w:ascii="Arial" w:hAnsi="Arial" w:cs="Arial"/>
          <w:b/>
          <w:color w:val="000000" w:themeColor="text1"/>
        </w:rPr>
        <w:t xml:space="preserve">und die vergebenen Kredite mit +4,02% erreichen </w:t>
      </w:r>
      <w:r w:rsidR="00031274" w:rsidRPr="00A54C59">
        <w:rPr>
          <w:rFonts w:ascii="Arial" w:hAnsi="Arial" w:cs="Arial"/>
          <w:b/>
          <w:color w:val="000000" w:themeColor="text1"/>
        </w:rPr>
        <w:t>ihre Höchstst</w:t>
      </w:r>
      <w:r w:rsidR="00B721A0" w:rsidRPr="00A54C59">
        <w:rPr>
          <w:rFonts w:ascii="Arial" w:hAnsi="Arial" w:cs="Arial"/>
          <w:b/>
          <w:color w:val="000000" w:themeColor="text1"/>
        </w:rPr>
        <w:t>ä</w:t>
      </w:r>
      <w:r w:rsidR="00031274" w:rsidRPr="00A54C59">
        <w:rPr>
          <w:rFonts w:ascii="Arial" w:hAnsi="Arial" w:cs="Arial"/>
          <w:b/>
          <w:color w:val="000000" w:themeColor="text1"/>
        </w:rPr>
        <w:t>nd</w:t>
      </w:r>
      <w:r w:rsidR="00B721A0" w:rsidRPr="00A54C59">
        <w:rPr>
          <w:rFonts w:ascii="Arial" w:hAnsi="Arial" w:cs="Arial"/>
          <w:b/>
          <w:color w:val="000000" w:themeColor="text1"/>
        </w:rPr>
        <w:t>e</w:t>
      </w:r>
      <w:r w:rsidR="00ED2136" w:rsidRPr="00A54C59">
        <w:rPr>
          <w:rFonts w:ascii="Arial" w:hAnsi="Arial" w:cs="Arial"/>
          <w:b/>
          <w:color w:val="000000" w:themeColor="text1"/>
        </w:rPr>
        <w:t>. D</w:t>
      </w:r>
      <w:r w:rsidR="00031274" w:rsidRPr="00A54C59">
        <w:rPr>
          <w:rFonts w:ascii="Arial" w:hAnsi="Arial" w:cs="Arial"/>
          <w:b/>
          <w:color w:val="000000" w:themeColor="text1"/>
        </w:rPr>
        <w:t>ie</w:t>
      </w:r>
      <w:r w:rsidRPr="00A54C59">
        <w:rPr>
          <w:rFonts w:ascii="Arial" w:hAnsi="Arial" w:cs="Arial"/>
          <w:b/>
          <w:color w:val="000000" w:themeColor="text1"/>
        </w:rPr>
        <w:t xml:space="preserve"> Kreditqualität </w:t>
      </w:r>
      <w:r w:rsidR="00ED2136" w:rsidRPr="00A54C59">
        <w:rPr>
          <w:rFonts w:ascii="Arial" w:hAnsi="Arial" w:cs="Arial"/>
          <w:b/>
          <w:color w:val="000000" w:themeColor="text1"/>
        </w:rPr>
        <w:t xml:space="preserve">ist weiterhin </w:t>
      </w:r>
      <w:r w:rsidR="00031274" w:rsidRPr="00A54C59">
        <w:rPr>
          <w:rFonts w:ascii="Arial" w:hAnsi="Arial" w:cs="Arial"/>
          <w:b/>
          <w:color w:val="000000" w:themeColor="text1"/>
        </w:rPr>
        <w:t>ausgezeichnet</w:t>
      </w:r>
      <w:r w:rsidR="00E82D4C" w:rsidRPr="00A54C59">
        <w:rPr>
          <w:rFonts w:ascii="Arial" w:hAnsi="Arial" w:cs="Arial"/>
          <w:b/>
          <w:color w:val="000000" w:themeColor="text1"/>
        </w:rPr>
        <w:t xml:space="preserve">. </w:t>
      </w:r>
      <w:r w:rsidR="00B721A0" w:rsidRPr="00A54C59">
        <w:rPr>
          <w:rFonts w:ascii="Arial" w:hAnsi="Arial" w:cs="Arial"/>
          <w:b/>
          <w:color w:val="000000" w:themeColor="text1"/>
        </w:rPr>
        <w:t xml:space="preserve">Der erwirtschaftete Reingewinn ist </w:t>
      </w:r>
      <w:r w:rsidR="00C22FFA" w:rsidRPr="00A54C59">
        <w:rPr>
          <w:rFonts w:ascii="Arial" w:hAnsi="Arial" w:cs="Arial"/>
          <w:b/>
          <w:color w:val="000000" w:themeColor="text1"/>
        </w:rPr>
        <w:t xml:space="preserve">der </w:t>
      </w:r>
      <w:r w:rsidR="00B730AB" w:rsidRPr="00A54C59">
        <w:rPr>
          <w:rFonts w:ascii="Arial" w:hAnsi="Arial" w:cs="Arial"/>
          <w:b/>
          <w:color w:val="000000" w:themeColor="text1"/>
        </w:rPr>
        <w:t>höchste</w:t>
      </w:r>
      <w:r w:rsidR="00C22FFA" w:rsidRPr="00A54C59">
        <w:rPr>
          <w:rFonts w:ascii="Arial" w:hAnsi="Arial" w:cs="Arial"/>
          <w:b/>
          <w:color w:val="000000" w:themeColor="text1"/>
        </w:rPr>
        <w:t xml:space="preserve"> seit Beste</w:t>
      </w:r>
      <w:r w:rsidR="00F9336E" w:rsidRPr="00A54C59">
        <w:rPr>
          <w:rFonts w:ascii="Arial" w:hAnsi="Arial" w:cs="Arial"/>
          <w:b/>
          <w:color w:val="000000" w:themeColor="text1"/>
        </w:rPr>
        <w:t>he</w:t>
      </w:r>
      <w:r w:rsidR="00187CDC" w:rsidRPr="00A54C59">
        <w:rPr>
          <w:rFonts w:ascii="Arial" w:hAnsi="Arial" w:cs="Arial"/>
          <w:b/>
          <w:color w:val="000000" w:themeColor="text1"/>
        </w:rPr>
        <w:t>n der Bank.</w:t>
      </w:r>
      <w:r w:rsidR="00F9336E" w:rsidRPr="00A54C59">
        <w:rPr>
          <w:rFonts w:ascii="Arial" w:hAnsi="Arial" w:cs="Arial"/>
          <w:b/>
          <w:color w:val="000000" w:themeColor="text1"/>
        </w:rPr>
        <w:t xml:space="preserve"> </w:t>
      </w:r>
      <w:r w:rsidR="00664436" w:rsidRPr="00A54C59">
        <w:rPr>
          <w:rFonts w:ascii="Arial" w:hAnsi="Arial" w:cs="Arial"/>
          <w:b/>
          <w:color w:val="000000" w:themeColor="text1"/>
        </w:rPr>
        <w:t xml:space="preserve">Erstmals wird ein Nachhaltigkeitsbericht veröffentlicht. </w:t>
      </w:r>
      <w:r w:rsidR="00F9336E" w:rsidRPr="00A54C59">
        <w:rPr>
          <w:rFonts w:ascii="Arial" w:hAnsi="Arial" w:cs="Arial"/>
          <w:b/>
          <w:color w:val="000000" w:themeColor="text1"/>
        </w:rPr>
        <w:t xml:space="preserve">Dies ist eine </w:t>
      </w:r>
      <w:r w:rsidR="00187CDC" w:rsidRPr="00A54C59">
        <w:rPr>
          <w:rFonts w:ascii="Arial" w:hAnsi="Arial" w:cs="Arial"/>
          <w:b/>
          <w:color w:val="000000" w:themeColor="text1"/>
        </w:rPr>
        <w:t>gute</w:t>
      </w:r>
      <w:r w:rsidR="00F9336E" w:rsidRPr="00A54C59">
        <w:rPr>
          <w:rFonts w:ascii="Arial" w:hAnsi="Arial" w:cs="Arial"/>
          <w:b/>
          <w:color w:val="000000" w:themeColor="text1"/>
        </w:rPr>
        <w:t xml:space="preserve"> Basis für die Unterstützung der Südtiroler in der aktuellen Situation.</w:t>
      </w:r>
    </w:p>
    <w:p w:rsidR="00B721A0" w:rsidRPr="00A54C59" w:rsidRDefault="00B721A0" w:rsidP="00B721A0">
      <w:pPr>
        <w:rPr>
          <w:rFonts w:ascii="Arial" w:hAnsi="Arial" w:cs="Arial"/>
          <w:b/>
          <w:color w:val="000000" w:themeColor="text1"/>
        </w:rPr>
      </w:pPr>
    </w:p>
    <w:p w:rsidR="00B721A0" w:rsidRPr="00A54C59" w:rsidRDefault="00B721A0" w:rsidP="00F81360">
      <w:pPr>
        <w:rPr>
          <w:rFonts w:ascii="Arial" w:hAnsi="Arial" w:cs="Arial"/>
          <w:b/>
          <w:color w:val="000000" w:themeColor="text1"/>
        </w:rPr>
      </w:pPr>
    </w:p>
    <w:p w:rsidR="00B721A0" w:rsidRPr="00A54C59" w:rsidRDefault="00B721A0" w:rsidP="00F81360">
      <w:pPr>
        <w:rPr>
          <w:rFonts w:ascii="Arial" w:hAnsi="Arial" w:cs="Arial"/>
          <w:b/>
          <w:color w:val="000000" w:themeColor="text1"/>
        </w:rPr>
      </w:pPr>
    </w:p>
    <w:p w:rsidR="00ED2136" w:rsidRPr="00A54C59" w:rsidRDefault="009773D6" w:rsidP="00ED2136">
      <w:pPr>
        <w:jc w:val="both"/>
        <w:rPr>
          <w:rFonts w:ascii="Arial" w:hAnsi="Arial" w:cs="Arial"/>
          <w:color w:val="000000" w:themeColor="text1"/>
          <w:spacing w:val="-4"/>
        </w:rPr>
      </w:pPr>
      <w:r w:rsidRPr="00A54C59">
        <w:rPr>
          <w:rFonts w:ascii="Arial" w:hAnsi="Arial" w:cs="Arial"/>
          <w:color w:val="000000" w:themeColor="text1"/>
        </w:rPr>
        <w:t>„</w:t>
      </w:r>
      <w:r w:rsidRPr="00A54C59">
        <w:rPr>
          <w:rFonts w:ascii="Arial" w:hAnsi="Arial" w:cs="Arial"/>
          <w:color w:val="000000" w:themeColor="text1"/>
          <w:spacing w:val="-4"/>
        </w:rPr>
        <w:t xml:space="preserve">Im Geschäftsjahr 2019 hat die Raiffeisen Landesbank Südtirol wichtige Projekte umgesetzt und </w:t>
      </w:r>
      <w:r w:rsidR="00ED2136" w:rsidRPr="00A54C59">
        <w:rPr>
          <w:rFonts w:ascii="Arial" w:hAnsi="Arial" w:cs="Arial"/>
          <w:color w:val="000000" w:themeColor="text1"/>
          <w:spacing w:val="-4"/>
        </w:rPr>
        <w:t>die besten Ergebnisse in ihrer Geschichte erarbeitet</w:t>
      </w:r>
      <w:r w:rsidRPr="00A54C59">
        <w:rPr>
          <w:rFonts w:ascii="Arial" w:hAnsi="Arial" w:cs="Arial"/>
          <w:color w:val="000000" w:themeColor="text1"/>
          <w:spacing w:val="-4"/>
        </w:rPr>
        <w:t>.</w:t>
      </w:r>
      <w:r w:rsidR="00B721A0" w:rsidRPr="00A54C59">
        <w:rPr>
          <w:rFonts w:ascii="Arial" w:hAnsi="Arial" w:cs="Arial"/>
          <w:color w:val="000000" w:themeColor="text1"/>
          <w:spacing w:val="-4"/>
        </w:rPr>
        <w:t xml:space="preserve"> Wir sind sehr zufrieden</w:t>
      </w:r>
      <w:r w:rsidR="003A5556" w:rsidRPr="00A54C59">
        <w:rPr>
          <w:rFonts w:ascii="Arial" w:hAnsi="Arial" w:cs="Arial"/>
          <w:color w:val="000000" w:themeColor="text1"/>
          <w:spacing w:val="-4"/>
        </w:rPr>
        <w:t xml:space="preserve">. </w:t>
      </w:r>
      <w:r w:rsidR="00ED2136" w:rsidRPr="00A54C59">
        <w:rPr>
          <w:rFonts w:ascii="Arial" w:hAnsi="Arial" w:cs="Arial"/>
          <w:color w:val="000000" w:themeColor="text1"/>
          <w:spacing w:val="-4"/>
        </w:rPr>
        <w:t>Damit haben wir eine solide Startposition, aus der heraus wir die Z</w:t>
      </w:r>
      <w:r w:rsidR="00B730AB" w:rsidRPr="00A54C59">
        <w:rPr>
          <w:rFonts w:ascii="Arial" w:hAnsi="Arial" w:cs="Arial"/>
          <w:color w:val="000000" w:themeColor="text1"/>
          <w:spacing w:val="-4"/>
        </w:rPr>
        <w:t>ukunft kraftvoll angehen können</w:t>
      </w:r>
      <w:r w:rsidR="00ED2136" w:rsidRPr="00A54C59">
        <w:rPr>
          <w:rFonts w:ascii="Arial" w:hAnsi="Arial" w:cs="Arial"/>
          <w:color w:val="000000" w:themeColor="text1"/>
          <w:spacing w:val="-4"/>
        </w:rPr>
        <w:t xml:space="preserve">“, sagt Präsident Michael Grüner. </w:t>
      </w:r>
    </w:p>
    <w:p w:rsidR="00F81360" w:rsidRPr="00A54C59" w:rsidRDefault="00F81360" w:rsidP="00F81360">
      <w:pPr>
        <w:rPr>
          <w:rFonts w:ascii="Arial" w:hAnsi="Arial" w:cs="Arial"/>
          <w:b/>
          <w:color w:val="000000" w:themeColor="text1"/>
        </w:rPr>
      </w:pPr>
    </w:p>
    <w:p w:rsidR="00F81360" w:rsidRPr="00A54C59" w:rsidRDefault="00F81360" w:rsidP="00F81360">
      <w:pPr>
        <w:autoSpaceDE w:val="0"/>
        <w:autoSpaceDN w:val="0"/>
        <w:adjustRightInd w:val="0"/>
        <w:jc w:val="both"/>
        <w:rPr>
          <w:rFonts w:ascii="Arial" w:hAnsi="Arial" w:cs="Arial"/>
          <w:color w:val="000000" w:themeColor="text1"/>
        </w:rPr>
      </w:pPr>
      <w:proofErr w:type="gramStart"/>
      <w:r w:rsidRPr="00A54C59">
        <w:rPr>
          <w:rFonts w:ascii="Arial" w:hAnsi="Arial" w:cs="Arial"/>
          <w:color w:val="000000" w:themeColor="text1"/>
        </w:rPr>
        <w:t>Die</w:t>
      </w:r>
      <w:proofErr w:type="gramEnd"/>
      <w:r w:rsidRPr="00A54C59">
        <w:rPr>
          <w:rFonts w:ascii="Arial" w:hAnsi="Arial" w:cs="Arial"/>
          <w:color w:val="000000" w:themeColor="text1"/>
        </w:rPr>
        <w:t xml:space="preserve"> Raiffeisen Landesbank Südtirol hat die Aufgabe, die </w:t>
      </w:r>
      <w:r w:rsidR="00B721A0" w:rsidRPr="00A54C59">
        <w:rPr>
          <w:rFonts w:ascii="Arial" w:hAnsi="Arial" w:cs="Arial"/>
          <w:color w:val="000000" w:themeColor="text1"/>
        </w:rPr>
        <w:t>39</w:t>
      </w:r>
      <w:r w:rsidRPr="00A54C59">
        <w:rPr>
          <w:rFonts w:ascii="Arial" w:hAnsi="Arial" w:cs="Arial"/>
          <w:color w:val="000000" w:themeColor="text1"/>
        </w:rPr>
        <w:t xml:space="preserve"> Raiffeisenkassen Südtirols bei ihrer Banktätigkeit zu unterstützen. Sie stellte den Raiffeisenkassen auch im abgelaufenen Jahr vielseitige Bank-Dienstleistungen und Produkte in hoher Qualität zur Verfügung und arbeitete vor allem bei der Vergabe von Krediten eng mit ihnen zusammen. Darüber hinaus wurde die gesamte Organisation gestärkt, indem zusätzliche Einlagen gesammelt wurden.</w:t>
      </w:r>
    </w:p>
    <w:p w:rsidR="00F81360" w:rsidRPr="00A54C59" w:rsidRDefault="00F81360" w:rsidP="00F81360">
      <w:pPr>
        <w:rPr>
          <w:rFonts w:ascii="Arial" w:hAnsi="Arial" w:cs="Arial"/>
          <w:color w:val="000000" w:themeColor="text1"/>
        </w:rPr>
      </w:pPr>
    </w:p>
    <w:p w:rsidR="00D5350B" w:rsidRPr="00A54C59" w:rsidRDefault="00D5350B" w:rsidP="00D5350B">
      <w:pPr>
        <w:jc w:val="both"/>
        <w:rPr>
          <w:rFonts w:ascii="Arial" w:hAnsi="Arial" w:cs="Arial"/>
          <w:b/>
          <w:color w:val="000000" w:themeColor="text1"/>
        </w:rPr>
      </w:pPr>
      <w:r w:rsidRPr="00A54C59">
        <w:rPr>
          <w:rFonts w:ascii="Arial" w:hAnsi="Arial" w:cs="Arial"/>
          <w:b/>
          <w:color w:val="000000" w:themeColor="text1"/>
        </w:rPr>
        <w:t>Kredite für Südtirols Unternehmen</w:t>
      </w:r>
    </w:p>
    <w:p w:rsidR="00D5350B" w:rsidRPr="00A54C59" w:rsidRDefault="003B7240" w:rsidP="00B279DA">
      <w:pPr>
        <w:spacing w:line="280" w:lineRule="exact"/>
        <w:jc w:val="both"/>
        <w:rPr>
          <w:rFonts w:ascii="Arial" w:hAnsi="Arial" w:cs="Arial"/>
          <w:color w:val="000000" w:themeColor="text1"/>
        </w:rPr>
      </w:pPr>
      <w:r w:rsidRPr="00A54C59">
        <w:rPr>
          <w:rFonts w:ascii="Arial" w:hAnsi="Arial" w:cs="Arial"/>
          <w:color w:val="000000" w:themeColor="text1"/>
        </w:rPr>
        <w:t>„Auch im Jahr 2019 haben wir zusammen mit den Raiffeisenkassen</w:t>
      </w:r>
      <w:r w:rsidR="00B279DA" w:rsidRPr="00A54C59">
        <w:rPr>
          <w:rFonts w:ascii="Arial" w:hAnsi="Arial" w:cs="Arial"/>
          <w:color w:val="000000" w:themeColor="text1"/>
        </w:rPr>
        <w:t xml:space="preserve"> den Südtiroler Unternehmen</w:t>
      </w:r>
      <w:r w:rsidRPr="00A54C59">
        <w:rPr>
          <w:rFonts w:ascii="Arial" w:hAnsi="Arial" w:cs="Arial"/>
          <w:color w:val="000000" w:themeColor="text1"/>
        </w:rPr>
        <w:t xml:space="preserve"> </w:t>
      </w:r>
      <w:r w:rsidR="00B279DA" w:rsidRPr="00A54C59">
        <w:rPr>
          <w:rFonts w:ascii="Arial" w:hAnsi="Arial" w:cs="Arial"/>
          <w:color w:val="000000" w:themeColor="text1"/>
        </w:rPr>
        <w:t xml:space="preserve">erhebliche Geldmittel </w:t>
      </w:r>
      <w:r w:rsidRPr="00A54C59">
        <w:rPr>
          <w:rFonts w:ascii="Arial" w:hAnsi="Arial" w:cs="Arial"/>
          <w:color w:val="000000" w:themeColor="text1"/>
        </w:rPr>
        <w:t xml:space="preserve">zur Realisierung </w:t>
      </w:r>
      <w:r w:rsidR="00B279DA" w:rsidRPr="00A54C59">
        <w:rPr>
          <w:rFonts w:ascii="Arial" w:hAnsi="Arial" w:cs="Arial"/>
          <w:color w:val="000000" w:themeColor="text1"/>
        </w:rPr>
        <w:t>d</w:t>
      </w:r>
      <w:r w:rsidRPr="00A54C59">
        <w:rPr>
          <w:rFonts w:ascii="Arial" w:hAnsi="Arial" w:cs="Arial"/>
          <w:color w:val="000000" w:themeColor="text1"/>
        </w:rPr>
        <w:t xml:space="preserve">er Geschäftsideen zur Verfügung </w:t>
      </w:r>
      <w:r w:rsidR="00B279DA" w:rsidRPr="00A54C59">
        <w:rPr>
          <w:rFonts w:ascii="Arial" w:hAnsi="Arial" w:cs="Arial"/>
          <w:color w:val="000000" w:themeColor="text1"/>
        </w:rPr>
        <w:t>ge</w:t>
      </w:r>
      <w:r w:rsidRPr="00A54C59">
        <w:rPr>
          <w:rFonts w:ascii="Arial" w:hAnsi="Arial" w:cs="Arial"/>
          <w:color w:val="000000" w:themeColor="text1"/>
        </w:rPr>
        <w:t>stell</w:t>
      </w:r>
      <w:r w:rsidR="00B279DA" w:rsidRPr="00A54C59">
        <w:rPr>
          <w:rFonts w:ascii="Arial" w:hAnsi="Arial" w:cs="Arial"/>
          <w:color w:val="000000" w:themeColor="text1"/>
        </w:rPr>
        <w:t>t</w:t>
      </w:r>
      <w:r w:rsidRPr="00A54C59">
        <w:rPr>
          <w:rFonts w:ascii="Arial" w:hAnsi="Arial" w:cs="Arial"/>
          <w:color w:val="000000" w:themeColor="text1"/>
        </w:rPr>
        <w:t>“, erläutert Grüner. Mit einer Steigerung von 64,1 Mio. Euro (+4,02%) auf 1.660 Mio. Euro wurde das größte Kreditvolumen seit der Gründung der Bank erreicht.</w:t>
      </w:r>
    </w:p>
    <w:p w:rsidR="00B279DA" w:rsidRPr="00A54C59" w:rsidRDefault="00B279DA" w:rsidP="00D5350B">
      <w:pPr>
        <w:autoSpaceDE w:val="0"/>
        <w:autoSpaceDN w:val="0"/>
        <w:adjustRightInd w:val="0"/>
        <w:rPr>
          <w:rFonts w:ascii="Arial" w:hAnsi="Arial" w:cs="Arial"/>
          <w:color w:val="000000" w:themeColor="text1"/>
        </w:rPr>
      </w:pPr>
    </w:p>
    <w:p w:rsidR="00B279DA" w:rsidRPr="00A54C59" w:rsidRDefault="00B279DA" w:rsidP="00B279DA">
      <w:pPr>
        <w:autoSpaceDE w:val="0"/>
        <w:autoSpaceDN w:val="0"/>
        <w:adjustRightInd w:val="0"/>
        <w:rPr>
          <w:rFonts w:ascii="Arial" w:hAnsi="Arial" w:cs="Arial"/>
          <w:b/>
          <w:bCs/>
          <w:color w:val="000000" w:themeColor="text1"/>
        </w:rPr>
      </w:pPr>
      <w:r w:rsidRPr="00A54C59">
        <w:rPr>
          <w:rFonts w:ascii="Arial" w:hAnsi="Arial" w:cs="Arial"/>
          <w:b/>
          <w:bCs/>
          <w:color w:val="000000" w:themeColor="text1"/>
        </w:rPr>
        <w:t>Ausgezeichnete Kreditqualität</w:t>
      </w:r>
    </w:p>
    <w:p w:rsidR="00B279DA" w:rsidRPr="00A54C59" w:rsidRDefault="00B279DA" w:rsidP="00B279DA">
      <w:pPr>
        <w:autoSpaceDE w:val="0"/>
        <w:autoSpaceDN w:val="0"/>
        <w:adjustRightInd w:val="0"/>
        <w:jc w:val="both"/>
        <w:rPr>
          <w:rFonts w:ascii="Arial" w:hAnsi="Arial" w:cs="Arial"/>
          <w:color w:val="000000" w:themeColor="text1"/>
        </w:rPr>
      </w:pPr>
      <w:r w:rsidRPr="00A54C59">
        <w:rPr>
          <w:rFonts w:ascii="Arial" w:hAnsi="Arial" w:cs="Arial"/>
          <w:color w:val="000000" w:themeColor="text1"/>
        </w:rPr>
        <w:t xml:space="preserve">Die Qualität der vergebenen Kredite ist ausgezeichnet. Der Anteil der zahlungsunfähigen Kredite am gesamten Kreditvolumen liegt seit Jahren auf bestem </w:t>
      </w:r>
      <w:proofErr w:type="gramStart"/>
      <w:r w:rsidRPr="00A54C59">
        <w:rPr>
          <w:rFonts w:ascii="Arial" w:hAnsi="Arial" w:cs="Arial"/>
          <w:color w:val="000000" w:themeColor="text1"/>
        </w:rPr>
        <w:t>europäischen</w:t>
      </w:r>
      <w:proofErr w:type="gramEnd"/>
      <w:r w:rsidRPr="00A54C59">
        <w:rPr>
          <w:rFonts w:ascii="Arial" w:hAnsi="Arial" w:cs="Arial"/>
          <w:color w:val="000000" w:themeColor="text1"/>
        </w:rPr>
        <w:t xml:space="preserve"> Niveau. Die Problemkredite sind 2019 weiter zurückgegangen und die Werte konnten nochmals verbessert werden. Die NPL-Ratio (Non </w:t>
      </w:r>
      <w:proofErr w:type="spellStart"/>
      <w:r w:rsidRPr="00A54C59">
        <w:rPr>
          <w:rFonts w:ascii="Arial" w:hAnsi="Arial" w:cs="Arial"/>
          <w:color w:val="000000" w:themeColor="text1"/>
        </w:rPr>
        <w:t>Performing</w:t>
      </w:r>
      <w:proofErr w:type="spellEnd"/>
      <w:r w:rsidRPr="00A54C59">
        <w:rPr>
          <w:rFonts w:ascii="Arial" w:hAnsi="Arial" w:cs="Arial"/>
          <w:color w:val="000000" w:themeColor="text1"/>
        </w:rPr>
        <w:t xml:space="preserve"> </w:t>
      </w:r>
      <w:proofErr w:type="spellStart"/>
      <w:r w:rsidRPr="00A54C59">
        <w:rPr>
          <w:rFonts w:ascii="Arial" w:hAnsi="Arial" w:cs="Arial"/>
          <w:color w:val="000000" w:themeColor="text1"/>
        </w:rPr>
        <w:t>Loan</w:t>
      </w:r>
      <w:proofErr w:type="spellEnd"/>
      <w:r w:rsidRPr="00A54C59">
        <w:rPr>
          <w:rFonts w:ascii="Arial" w:hAnsi="Arial" w:cs="Arial"/>
          <w:color w:val="000000" w:themeColor="text1"/>
        </w:rPr>
        <w:t>) befindet sich auf einem außerordentl</w:t>
      </w:r>
      <w:r w:rsidR="00F46204" w:rsidRPr="00A54C59">
        <w:rPr>
          <w:rFonts w:ascii="Arial" w:hAnsi="Arial" w:cs="Arial"/>
          <w:color w:val="000000" w:themeColor="text1"/>
        </w:rPr>
        <w:t>ich niedrigen Niveau von 3,17%.</w:t>
      </w:r>
    </w:p>
    <w:p w:rsidR="00B279DA" w:rsidRPr="00A54C59" w:rsidRDefault="00B279DA" w:rsidP="00B279DA">
      <w:pPr>
        <w:rPr>
          <w:rFonts w:ascii="Arial" w:hAnsi="Arial" w:cs="Arial"/>
          <w:color w:val="000000" w:themeColor="text1"/>
        </w:rPr>
      </w:pPr>
    </w:p>
    <w:p w:rsidR="00DC0354" w:rsidRPr="00A54C59" w:rsidRDefault="00DC0354" w:rsidP="00DC0354">
      <w:pPr>
        <w:jc w:val="both"/>
        <w:rPr>
          <w:rFonts w:ascii="Arial" w:hAnsi="Arial" w:cs="Arial"/>
          <w:b/>
          <w:color w:val="000000" w:themeColor="text1"/>
        </w:rPr>
      </w:pPr>
      <w:r w:rsidRPr="00A54C59">
        <w:rPr>
          <w:rFonts w:ascii="Arial" w:hAnsi="Arial" w:cs="Arial"/>
          <w:b/>
          <w:color w:val="000000" w:themeColor="text1"/>
        </w:rPr>
        <w:t>Bestes Rating</w:t>
      </w:r>
    </w:p>
    <w:p w:rsidR="00DC0354" w:rsidRPr="00A54C59" w:rsidRDefault="00DC0354" w:rsidP="00EA21EE">
      <w:pPr>
        <w:jc w:val="both"/>
        <w:rPr>
          <w:rFonts w:ascii="Arial" w:hAnsi="Arial" w:cs="Arial"/>
          <w:color w:val="000000" w:themeColor="text1"/>
        </w:rPr>
      </w:pPr>
      <w:proofErr w:type="gramStart"/>
      <w:r w:rsidRPr="00A54C59">
        <w:rPr>
          <w:rFonts w:ascii="Arial" w:hAnsi="Arial" w:cs="Arial"/>
          <w:color w:val="000000" w:themeColor="text1"/>
        </w:rPr>
        <w:t>Die</w:t>
      </w:r>
      <w:proofErr w:type="gramEnd"/>
      <w:r w:rsidRPr="00A54C59">
        <w:rPr>
          <w:rFonts w:ascii="Arial" w:hAnsi="Arial" w:cs="Arial"/>
          <w:color w:val="000000" w:themeColor="text1"/>
        </w:rPr>
        <w:t xml:space="preserve"> Raiffeisen Landesbank Südtirol</w:t>
      </w:r>
      <w:r w:rsidR="00F46204" w:rsidRPr="00A54C59">
        <w:rPr>
          <w:rFonts w:ascii="Arial" w:hAnsi="Arial" w:cs="Arial"/>
          <w:color w:val="000000" w:themeColor="text1"/>
        </w:rPr>
        <w:t xml:space="preserve"> verfügt</w:t>
      </w:r>
      <w:r w:rsidRPr="00A54C59">
        <w:rPr>
          <w:rFonts w:ascii="Arial" w:hAnsi="Arial" w:cs="Arial"/>
          <w:color w:val="000000" w:themeColor="text1"/>
        </w:rPr>
        <w:t xml:space="preserve"> über das italienweit höchstmögliche Rating von </w:t>
      </w:r>
      <w:proofErr w:type="spellStart"/>
      <w:r w:rsidRPr="00A54C59">
        <w:rPr>
          <w:rFonts w:ascii="Arial" w:hAnsi="Arial" w:cs="Arial"/>
          <w:color w:val="000000" w:themeColor="text1"/>
        </w:rPr>
        <w:t>Moody’s</w:t>
      </w:r>
      <w:proofErr w:type="spellEnd"/>
      <w:r w:rsidRPr="00A54C59">
        <w:rPr>
          <w:rFonts w:ascii="Arial" w:hAnsi="Arial" w:cs="Arial"/>
          <w:color w:val="000000" w:themeColor="text1"/>
        </w:rPr>
        <w:t xml:space="preserve"> für langfristige Bankeinlage</w:t>
      </w:r>
      <w:r w:rsidR="00F46204" w:rsidRPr="00A54C59">
        <w:rPr>
          <w:rFonts w:ascii="Arial" w:hAnsi="Arial" w:cs="Arial"/>
          <w:color w:val="000000" w:themeColor="text1"/>
        </w:rPr>
        <w:t>n</w:t>
      </w:r>
      <w:r w:rsidRPr="00A54C59">
        <w:rPr>
          <w:rFonts w:ascii="Arial" w:hAnsi="Arial" w:cs="Arial"/>
          <w:color w:val="000000" w:themeColor="text1"/>
        </w:rPr>
        <w:t xml:space="preserve">. Außer der Raiffeisen Landesbank Südtirol können </w:t>
      </w:r>
      <w:r w:rsidRPr="00A54C59">
        <w:rPr>
          <w:rFonts w:ascii="Arial" w:hAnsi="Arial" w:cs="Arial"/>
          <w:color w:val="000000" w:themeColor="text1"/>
        </w:rPr>
        <w:lastRenderedPageBreak/>
        <w:t>nur sieben weitere in Italien tätige Banken diese Bewertung vorweisen</w:t>
      </w:r>
      <w:r w:rsidR="00C707B8" w:rsidRPr="00A54C59">
        <w:rPr>
          <w:rFonts w:ascii="Arial" w:hAnsi="Arial" w:cs="Arial"/>
          <w:color w:val="000000" w:themeColor="text1"/>
        </w:rPr>
        <w:t>.</w:t>
      </w:r>
      <w:r w:rsidR="00B279DA" w:rsidRPr="00A54C59">
        <w:rPr>
          <w:rFonts w:ascii="Arial" w:hAnsi="Arial" w:cs="Arial"/>
          <w:color w:val="000000" w:themeColor="text1"/>
        </w:rPr>
        <w:t xml:space="preserve"> „Die Südtiroler vertrauen uns</w:t>
      </w:r>
      <w:r w:rsidR="00F46204" w:rsidRPr="00A54C59">
        <w:rPr>
          <w:rFonts w:ascii="Arial" w:hAnsi="Arial" w:cs="Arial"/>
          <w:color w:val="000000" w:themeColor="text1"/>
        </w:rPr>
        <w:t xml:space="preserve"> und hab</w:t>
      </w:r>
      <w:r w:rsidRPr="00A54C59">
        <w:rPr>
          <w:rFonts w:ascii="Arial" w:hAnsi="Arial" w:cs="Arial"/>
          <w:color w:val="000000" w:themeColor="text1"/>
        </w:rPr>
        <w:t>en ihre Gelde</w:t>
      </w:r>
      <w:r w:rsidR="006C5AC6" w:rsidRPr="00A54C59">
        <w:rPr>
          <w:rFonts w:ascii="Arial" w:hAnsi="Arial" w:cs="Arial"/>
          <w:color w:val="000000" w:themeColor="text1"/>
        </w:rPr>
        <w:t>r vermehrt bei uns eingelegt“, so</w:t>
      </w:r>
      <w:r w:rsidRPr="00A54C59">
        <w:rPr>
          <w:rFonts w:ascii="Arial" w:hAnsi="Arial" w:cs="Arial"/>
          <w:color w:val="000000" w:themeColor="text1"/>
        </w:rPr>
        <w:t xml:space="preserve"> Generaldirektor </w:t>
      </w:r>
      <w:proofErr w:type="spellStart"/>
      <w:r w:rsidRPr="00A54C59">
        <w:rPr>
          <w:rFonts w:ascii="Arial" w:hAnsi="Arial" w:cs="Arial"/>
          <w:color w:val="000000" w:themeColor="text1"/>
        </w:rPr>
        <w:t>Zenone</w:t>
      </w:r>
      <w:proofErr w:type="spellEnd"/>
      <w:r w:rsidRPr="00A54C59">
        <w:rPr>
          <w:rFonts w:ascii="Arial" w:hAnsi="Arial" w:cs="Arial"/>
          <w:color w:val="000000" w:themeColor="text1"/>
        </w:rPr>
        <w:t xml:space="preserve"> </w:t>
      </w:r>
      <w:proofErr w:type="spellStart"/>
      <w:r w:rsidRPr="00A54C59">
        <w:rPr>
          <w:rFonts w:ascii="Arial" w:hAnsi="Arial" w:cs="Arial"/>
          <w:color w:val="000000" w:themeColor="text1"/>
        </w:rPr>
        <w:t>Giacomuzzi</w:t>
      </w:r>
      <w:proofErr w:type="spellEnd"/>
      <w:r w:rsidRPr="00A54C59">
        <w:rPr>
          <w:rFonts w:ascii="Arial" w:hAnsi="Arial" w:cs="Arial"/>
          <w:color w:val="000000" w:themeColor="text1"/>
        </w:rPr>
        <w:t xml:space="preserve">. </w:t>
      </w:r>
    </w:p>
    <w:p w:rsidR="00DC0354" w:rsidRPr="00A54C59" w:rsidRDefault="00DC0354" w:rsidP="00DC0354">
      <w:pPr>
        <w:autoSpaceDE w:val="0"/>
        <w:autoSpaceDN w:val="0"/>
        <w:adjustRightInd w:val="0"/>
        <w:rPr>
          <w:rFonts w:ascii="Arial" w:hAnsi="Arial" w:cs="Arial"/>
          <w:b/>
          <w:bCs/>
          <w:color w:val="000000" w:themeColor="text1"/>
        </w:rPr>
      </w:pPr>
    </w:p>
    <w:p w:rsidR="00DC0354" w:rsidRPr="00A54C59" w:rsidRDefault="00DC0354" w:rsidP="00DC0354">
      <w:pPr>
        <w:autoSpaceDE w:val="0"/>
        <w:autoSpaceDN w:val="0"/>
        <w:adjustRightInd w:val="0"/>
        <w:rPr>
          <w:rFonts w:ascii="Arial" w:hAnsi="Arial" w:cs="Arial"/>
          <w:b/>
          <w:bCs/>
          <w:color w:val="000000" w:themeColor="text1"/>
        </w:rPr>
      </w:pPr>
      <w:r w:rsidRPr="00A54C59">
        <w:rPr>
          <w:rFonts w:ascii="Arial" w:hAnsi="Arial" w:cs="Arial"/>
          <w:b/>
          <w:bCs/>
          <w:color w:val="000000" w:themeColor="text1"/>
        </w:rPr>
        <w:t>Kundeneinlagen auf Höchststand</w:t>
      </w:r>
    </w:p>
    <w:p w:rsidR="00DC0354" w:rsidRPr="00A54C59" w:rsidRDefault="006C5AC6" w:rsidP="00B279DA">
      <w:pPr>
        <w:spacing w:line="280" w:lineRule="exact"/>
        <w:jc w:val="both"/>
        <w:rPr>
          <w:rFonts w:ascii="Arial" w:hAnsi="Arial" w:cs="Arial"/>
          <w:color w:val="000000" w:themeColor="text1"/>
        </w:rPr>
      </w:pPr>
      <w:r w:rsidRPr="00A54C59">
        <w:rPr>
          <w:rFonts w:ascii="Arial" w:hAnsi="Arial" w:cs="Arial"/>
          <w:color w:val="000000" w:themeColor="text1"/>
        </w:rPr>
        <w:t>A</w:t>
      </w:r>
      <w:r w:rsidR="00B279DA" w:rsidRPr="00A54C59">
        <w:rPr>
          <w:rFonts w:ascii="Arial" w:hAnsi="Arial" w:cs="Arial"/>
          <w:color w:val="000000" w:themeColor="text1"/>
        </w:rPr>
        <w:t xml:space="preserve">uch bei den Kundeneinlagen </w:t>
      </w:r>
      <w:r w:rsidRPr="00A54C59">
        <w:rPr>
          <w:rFonts w:ascii="Arial" w:hAnsi="Arial" w:cs="Arial"/>
          <w:color w:val="000000" w:themeColor="text1"/>
        </w:rPr>
        <w:t xml:space="preserve">wurde </w:t>
      </w:r>
      <w:r w:rsidR="00B279DA" w:rsidRPr="00A54C59">
        <w:rPr>
          <w:rFonts w:ascii="Arial" w:hAnsi="Arial" w:cs="Arial"/>
          <w:color w:val="000000" w:themeColor="text1"/>
        </w:rPr>
        <w:t xml:space="preserve">der bisherige Höchststand von 1.614 Mio. Euro (+8,17%) erreicht. </w:t>
      </w:r>
      <w:r w:rsidR="00DC0354" w:rsidRPr="00A54C59">
        <w:rPr>
          <w:rFonts w:ascii="Arial" w:hAnsi="Arial" w:cs="Arial"/>
          <w:color w:val="000000" w:themeColor="text1"/>
        </w:rPr>
        <w:t>Die Gesamteinlagen inklusive eigene Obligationen lagen mit 2,19 Mrd. Euro (+16,39%) ebenfalls erheblich über dem Vorjahresniveau. Die indirekten Einlagen (Investmentfonds, Obligationen Dritter, Aktien, Lebensversicherungen) beliefen sich zum Jahresende auf 3,1 Mrd. Euro (-1,23%).</w:t>
      </w:r>
    </w:p>
    <w:p w:rsidR="00B279DA" w:rsidRPr="00A54C59" w:rsidRDefault="00B279DA" w:rsidP="00C55988">
      <w:pPr>
        <w:autoSpaceDE w:val="0"/>
        <w:autoSpaceDN w:val="0"/>
        <w:adjustRightInd w:val="0"/>
        <w:rPr>
          <w:rFonts w:ascii="Arial" w:hAnsi="Arial" w:cs="Arial"/>
          <w:color w:val="000000" w:themeColor="text1"/>
        </w:rPr>
      </w:pPr>
    </w:p>
    <w:p w:rsidR="00D37288" w:rsidRPr="00A54C59" w:rsidRDefault="00E0485A" w:rsidP="00D37288">
      <w:pPr>
        <w:autoSpaceDE w:val="0"/>
        <w:autoSpaceDN w:val="0"/>
        <w:adjustRightInd w:val="0"/>
        <w:rPr>
          <w:rFonts w:ascii="Arial" w:hAnsi="Arial" w:cs="Arial"/>
          <w:b/>
          <w:bCs/>
          <w:color w:val="000000" w:themeColor="text1"/>
        </w:rPr>
      </w:pPr>
      <w:r w:rsidRPr="00A54C59">
        <w:rPr>
          <w:rFonts w:ascii="Arial" w:hAnsi="Arial" w:cs="Arial"/>
          <w:b/>
          <w:bCs/>
          <w:color w:val="000000" w:themeColor="text1"/>
        </w:rPr>
        <w:t>G</w:t>
      </w:r>
      <w:r w:rsidR="00D37288" w:rsidRPr="00A54C59">
        <w:rPr>
          <w:rFonts w:ascii="Arial" w:hAnsi="Arial" w:cs="Arial"/>
          <w:b/>
          <w:bCs/>
          <w:color w:val="000000" w:themeColor="text1"/>
        </w:rPr>
        <w:t>ute Rentabilität trotz tiefer Zinsen</w:t>
      </w:r>
    </w:p>
    <w:p w:rsidR="00D37288" w:rsidRPr="00A54C59" w:rsidRDefault="006A01AE" w:rsidP="00D37288">
      <w:pPr>
        <w:autoSpaceDE w:val="0"/>
        <w:autoSpaceDN w:val="0"/>
        <w:adjustRightInd w:val="0"/>
        <w:jc w:val="both"/>
        <w:rPr>
          <w:rFonts w:ascii="Arial" w:hAnsi="Arial" w:cs="Arial"/>
          <w:color w:val="000000" w:themeColor="text1"/>
        </w:rPr>
      </w:pPr>
      <w:r w:rsidRPr="00A54C59">
        <w:rPr>
          <w:rFonts w:ascii="Arial" w:hAnsi="Arial" w:cs="Arial"/>
          <w:color w:val="000000" w:themeColor="text1"/>
        </w:rPr>
        <w:t>Die Geld- und Kapitalmarktzinssätze verharrten auch im Geschäftsjahr 201</w:t>
      </w:r>
      <w:r w:rsidR="00445A63" w:rsidRPr="00A54C59">
        <w:rPr>
          <w:rFonts w:ascii="Arial" w:hAnsi="Arial" w:cs="Arial"/>
          <w:color w:val="000000" w:themeColor="text1"/>
        </w:rPr>
        <w:t>9</w:t>
      </w:r>
      <w:r w:rsidRPr="00A54C59">
        <w:rPr>
          <w:rFonts w:ascii="Arial" w:hAnsi="Arial" w:cs="Arial"/>
          <w:color w:val="000000" w:themeColor="text1"/>
        </w:rPr>
        <w:t xml:space="preserve"> auf historisch niedrigem Niveau. Dennoch</w:t>
      </w:r>
      <w:r w:rsidR="00187C52" w:rsidRPr="00A54C59">
        <w:rPr>
          <w:rFonts w:ascii="Arial" w:hAnsi="Arial" w:cs="Arial"/>
          <w:color w:val="000000" w:themeColor="text1"/>
        </w:rPr>
        <w:t xml:space="preserve"> lag der Zinsüberschuss mit </w:t>
      </w:r>
      <w:r w:rsidR="00445A63" w:rsidRPr="00A54C59">
        <w:rPr>
          <w:rFonts w:ascii="Arial" w:hAnsi="Arial" w:cs="Arial"/>
          <w:color w:val="000000" w:themeColor="text1"/>
        </w:rPr>
        <w:t>40</w:t>
      </w:r>
      <w:r w:rsidR="00187C52" w:rsidRPr="00A54C59">
        <w:rPr>
          <w:rFonts w:ascii="Arial" w:hAnsi="Arial" w:cs="Arial"/>
          <w:color w:val="000000" w:themeColor="text1"/>
        </w:rPr>
        <w:t>,</w:t>
      </w:r>
      <w:r w:rsidR="00445A63" w:rsidRPr="00A54C59">
        <w:rPr>
          <w:rFonts w:ascii="Arial" w:hAnsi="Arial" w:cs="Arial"/>
          <w:color w:val="000000" w:themeColor="text1"/>
        </w:rPr>
        <w:t>9</w:t>
      </w:r>
      <w:r w:rsidRPr="00A54C59">
        <w:rPr>
          <w:rFonts w:ascii="Arial" w:hAnsi="Arial" w:cs="Arial"/>
          <w:color w:val="000000" w:themeColor="text1"/>
        </w:rPr>
        <w:t xml:space="preserve"> </w:t>
      </w:r>
      <w:r w:rsidR="00C707B8" w:rsidRPr="00A54C59">
        <w:rPr>
          <w:rFonts w:ascii="Arial" w:hAnsi="Arial" w:cs="Arial"/>
          <w:color w:val="000000" w:themeColor="text1"/>
        </w:rPr>
        <w:t>Mio. Euro</w:t>
      </w:r>
      <w:r w:rsidRPr="00A54C59">
        <w:rPr>
          <w:rFonts w:ascii="Arial" w:hAnsi="Arial" w:cs="Arial"/>
          <w:color w:val="000000" w:themeColor="text1"/>
        </w:rPr>
        <w:t xml:space="preserve"> um </w:t>
      </w:r>
      <w:r w:rsidR="00445A63" w:rsidRPr="00A54C59">
        <w:rPr>
          <w:rFonts w:ascii="Arial" w:hAnsi="Arial" w:cs="Arial"/>
          <w:color w:val="000000" w:themeColor="text1"/>
        </w:rPr>
        <w:t>4</w:t>
      </w:r>
      <w:r w:rsidR="00187C52" w:rsidRPr="00A54C59">
        <w:rPr>
          <w:rFonts w:ascii="Arial" w:hAnsi="Arial" w:cs="Arial"/>
          <w:color w:val="000000" w:themeColor="text1"/>
        </w:rPr>
        <w:t>,41</w:t>
      </w:r>
      <w:r w:rsidRPr="00A54C59">
        <w:rPr>
          <w:rFonts w:ascii="Arial" w:hAnsi="Arial" w:cs="Arial"/>
          <w:color w:val="000000" w:themeColor="text1"/>
        </w:rPr>
        <w:t xml:space="preserve">% </w:t>
      </w:r>
      <w:r w:rsidR="00445A63" w:rsidRPr="00A54C59">
        <w:rPr>
          <w:rFonts w:ascii="Arial" w:hAnsi="Arial" w:cs="Arial"/>
          <w:color w:val="000000" w:themeColor="text1"/>
        </w:rPr>
        <w:t xml:space="preserve">über </w:t>
      </w:r>
      <w:r w:rsidRPr="00A54C59">
        <w:rPr>
          <w:rFonts w:ascii="Arial" w:hAnsi="Arial" w:cs="Arial"/>
          <w:color w:val="000000" w:themeColor="text1"/>
        </w:rPr>
        <w:t>dem Wert des Geschäftsjahres 201</w:t>
      </w:r>
      <w:r w:rsidR="00445A63" w:rsidRPr="00A54C59">
        <w:rPr>
          <w:rFonts w:ascii="Arial" w:hAnsi="Arial" w:cs="Arial"/>
          <w:color w:val="000000" w:themeColor="text1"/>
        </w:rPr>
        <w:t>8</w:t>
      </w:r>
      <w:r w:rsidRPr="00A54C59">
        <w:rPr>
          <w:rFonts w:ascii="Arial" w:hAnsi="Arial" w:cs="Arial"/>
          <w:color w:val="000000" w:themeColor="text1"/>
        </w:rPr>
        <w:t xml:space="preserve">. </w:t>
      </w:r>
      <w:r w:rsidR="00D37288" w:rsidRPr="00A54C59">
        <w:rPr>
          <w:rFonts w:ascii="Arial" w:hAnsi="Arial" w:cs="Arial"/>
          <w:color w:val="000000" w:themeColor="text1"/>
        </w:rPr>
        <w:t xml:space="preserve">Der Provisionsüberschuss </w:t>
      </w:r>
      <w:r w:rsidRPr="00A54C59">
        <w:rPr>
          <w:rFonts w:ascii="Arial" w:hAnsi="Arial" w:cs="Arial"/>
          <w:color w:val="000000" w:themeColor="text1"/>
        </w:rPr>
        <w:t xml:space="preserve">stieg um </w:t>
      </w:r>
      <w:r w:rsidR="00445A63" w:rsidRPr="00A54C59">
        <w:rPr>
          <w:rFonts w:ascii="Arial" w:hAnsi="Arial" w:cs="Arial"/>
          <w:color w:val="000000" w:themeColor="text1"/>
        </w:rPr>
        <w:t>2,56</w:t>
      </w:r>
      <w:r w:rsidRPr="00A54C59">
        <w:rPr>
          <w:rFonts w:ascii="Arial" w:hAnsi="Arial" w:cs="Arial"/>
          <w:color w:val="000000" w:themeColor="text1"/>
        </w:rPr>
        <w:t xml:space="preserve">% auf </w:t>
      </w:r>
      <w:r w:rsidR="00D37288" w:rsidRPr="00A54C59">
        <w:rPr>
          <w:rFonts w:ascii="Arial" w:hAnsi="Arial" w:cs="Arial"/>
          <w:color w:val="000000" w:themeColor="text1"/>
        </w:rPr>
        <w:t>1</w:t>
      </w:r>
      <w:r w:rsidR="00187C52" w:rsidRPr="00A54C59">
        <w:rPr>
          <w:rFonts w:ascii="Arial" w:hAnsi="Arial" w:cs="Arial"/>
          <w:color w:val="000000" w:themeColor="text1"/>
        </w:rPr>
        <w:t>5,</w:t>
      </w:r>
      <w:r w:rsidR="00445A63" w:rsidRPr="00A54C59">
        <w:rPr>
          <w:rFonts w:ascii="Arial" w:hAnsi="Arial" w:cs="Arial"/>
          <w:color w:val="000000" w:themeColor="text1"/>
        </w:rPr>
        <w:t>5</w:t>
      </w:r>
      <w:r w:rsidR="00D37288" w:rsidRPr="00A54C59">
        <w:rPr>
          <w:rFonts w:ascii="Arial" w:hAnsi="Arial" w:cs="Arial"/>
          <w:color w:val="000000" w:themeColor="text1"/>
        </w:rPr>
        <w:t xml:space="preserve"> Mio. Euro </w:t>
      </w:r>
      <w:r w:rsidRPr="00A54C59">
        <w:rPr>
          <w:rFonts w:ascii="Arial" w:hAnsi="Arial" w:cs="Arial"/>
          <w:color w:val="000000" w:themeColor="text1"/>
        </w:rPr>
        <w:t>an.</w:t>
      </w:r>
    </w:p>
    <w:p w:rsidR="00AB2EA8" w:rsidRPr="00A54C59" w:rsidRDefault="00AB2EA8" w:rsidP="00D37288">
      <w:pPr>
        <w:autoSpaceDE w:val="0"/>
        <w:autoSpaceDN w:val="0"/>
        <w:adjustRightInd w:val="0"/>
        <w:rPr>
          <w:rFonts w:ascii="Arial" w:hAnsi="Arial" w:cs="Arial"/>
          <w:color w:val="000000" w:themeColor="text1"/>
        </w:rPr>
      </w:pPr>
    </w:p>
    <w:p w:rsidR="006A01AE" w:rsidRPr="00A54C59" w:rsidRDefault="00247799" w:rsidP="006A01AE">
      <w:pPr>
        <w:autoSpaceDE w:val="0"/>
        <w:autoSpaceDN w:val="0"/>
        <w:adjustRightInd w:val="0"/>
        <w:rPr>
          <w:rFonts w:ascii="Arial" w:hAnsi="Arial" w:cs="Arial"/>
          <w:b/>
          <w:bCs/>
          <w:color w:val="000000" w:themeColor="text1"/>
        </w:rPr>
      </w:pPr>
      <w:r w:rsidRPr="00A54C59">
        <w:rPr>
          <w:rFonts w:ascii="Arial" w:hAnsi="Arial" w:cs="Arial"/>
          <w:b/>
          <w:bCs/>
          <w:color w:val="000000" w:themeColor="text1"/>
        </w:rPr>
        <w:t>Effiziente</w:t>
      </w:r>
      <w:r w:rsidR="006A01AE" w:rsidRPr="00A54C59">
        <w:rPr>
          <w:rFonts w:ascii="Arial" w:hAnsi="Arial" w:cs="Arial"/>
          <w:b/>
          <w:bCs/>
          <w:color w:val="000000" w:themeColor="text1"/>
        </w:rPr>
        <w:t xml:space="preserve"> und schlanke Struktur</w:t>
      </w:r>
    </w:p>
    <w:p w:rsidR="00F96A29" w:rsidRPr="00A54C59" w:rsidRDefault="00F96A29" w:rsidP="00F96A29">
      <w:pPr>
        <w:autoSpaceDE w:val="0"/>
        <w:autoSpaceDN w:val="0"/>
        <w:adjustRightInd w:val="0"/>
        <w:jc w:val="both"/>
        <w:rPr>
          <w:rFonts w:ascii="Arial" w:hAnsi="Arial" w:cs="Arial"/>
          <w:color w:val="000000" w:themeColor="text1"/>
        </w:rPr>
      </w:pPr>
      <w:proofErr w:type="gramStart"/>
      <w:r w:rsidRPr="00A54C59">
        <w:rPr>
          <w:rFonts w:ascii="Arial" w:hAnsi="Arial" w:cs="Arial"/>
          <w:color w:val="000000" w:themeColor="text1"/>
        </w:rPr>
        <w:t>Die</w:t>
      </w:r>
      <w:proofErr w:type="gramEnd"/>
      <w:r w:rsidRPr="00A54C59">
        <w:rPr>
          <w:rFonts w:ascii="Arial" w:hAnsi="Arial" w:cs="Arial"/>
          <w:color w:val="000000" w:themeColor="text1"/>
        </w:rPr>
        <w:t xml:space="preserve"> Raiffeisen Landesbank Südtirol achtet auf den disziplinierten Umgang mit den Ressourcen. Das „</w:t>
      </w:r>
      <w:proofErr w:type="spellStart"/>
      <w:r w:rsidRPr="00A54C59">
        <w:rPr>
          <w:rFonts w:ascii="Arial" w:hAnsi="Arial" w:cs="Arial"/>
          <w:color w:val="000000" w:themeColor="text1"/>
        </w:rPr>
        <w:t>Cost</w:t>
      </w:r>
      <w:proofErr w:type="spellEnd"/>
      <w:r w:rsidRPr="00A54C59">
        <w:rPr>
          <w:rFonts w:ascii="Arial" w:hAnsi="Arial" w:cs="Arial"/>
          <w:color w:val="000000" w:themeColor="text1"/>
        </w:rPr>
        <w:t>-Income“-Verhältnis, das bekannteste Maß für Effizienz bei Banken, liegt beim europäischen Spitzenwert von 4</w:t>
      </w:r>
      <w:r w:rsidR="00513E8A" w:rsidRPr="00A54C59">
        <w:rPr>
          <w:rFonts w:ascii="Arial" w:hAnsi="Arial" w:cs="Arial"/>
          <w:color w:val="000000" w:themeColor="text1"/>
        </w:rPr>
        <w:t>2</w:t>
      </w:r>
      <w:r w:rsidRPr="00A54C59">
        <w:rPr>
          <w:rFonts w:ascii="Arial" w:hAnsi="Arial" w:cs="Arial"/>
          <w:color w:val="000000" w:themeColor="text1"/>
        </w:rPr>
        <w:t>,</w:t>
      </w:r>
      <w:r w:rsidR="00513E8A" w:rsidRPr="00A54C59">
        <w:rPr>
          <w:rFonts w:ascii="Arial" w:hAnsi="Arial" w:cs="Arial"/>
          <w:color w:val="000000" w:themeColor="text1"/>
        </w:rPr>
        <w:t>9</w:t>
      </w:r>
      <w:r w:rsidRPr="00A54C59">
        <w:rPr>
          <w:rFonts w:ascii="Arial" w:hAnsi="Arial" w:cs="Arial"/>
          <w:color w:val="000000" w:themeColor="text1"/>
        </w:rPr>
        <w:t>%.</w:t>
      </w:r>
    </w:p>
    <w:p w:rsidR="00936F0A" w:rsidRPr="00A54C59" w:rsidRDefault="00936F0A" w:rsidP="006A01AE">
      <w:pPr>
        <w:autoSpaceDE w:val="0"/>
        <w:autoSpaceDN w:val="0"/>
        <w:adjustRightInd w:val="0"/>
        <w:jc w:val="both"/>
        <w:rPr>
          <w:rFonts w:ascii="Arial" w:hAnsi="Arial" w:cs="Arial"/>
          <w:color w:val="000000" w:themeColor="text1"/>
        </w:rPr>
      </w:pPr>
    </w:p>
    <w:p w:rsidR="00936F0A" w:rsidRPr="00A54C59" w:rsidRDefault="00936F0A" w:rsidP="00936F0A">
      <w:pPr>
        <w:autoSpaceDE w:val="0"/>
        <w:autoSpaceDN w:val="0"/>
        <w:adjustRightInd w:val="0"/>
        <w:rPr>
          <w:rFonts w:ascii="Arial" w:hAnsi="Arial" w:cs="Arial"/>
          <w:b/>
          <w:bCs/>
          <w:color w:val="000000" w:themeColor="text1"/>
        </w:rPr>
      </w:pPr>
      <w:r w:rsidRPr="00A54C59">
        <w:rPr>
          <w:rFonts w:ascii="Arial" w:hAnsi="Arial" w:cs="Arial"/>
          <w:b/>
          <w:bCs/>
          <w:color w:val="000000" w:themeColor="text1"/>
        </w:rPr>
        <w:t>Starke Kapitalausstattung</w:t>
      </w:r>
    </w:p>
    <w:p w:rsidR="00936F0A" w:rsidRPr="00A54C59" w:rsidRDefault="00936F0A" w:rsidP="00936F0A">
      <w:pPr>
        <w:autoSpaceDE w:val="0"/>
        <w:autoSpaceDN w:val="0"/>
        <w:adjustRightInd w:val="0"/>
        <w:jc w:val="both"/>
        <w:rPr>
          <w:rFonts w:ascii="Arial" w:hAnsi="Arial" w:cs="Arial"/>
          <w:color w:val="000000" w:themeColor="text1"/>
        </w:rPr>
      </w:pPr>
      <w:r w:rsidRPr="00A54C59">
        <w:rPr>
          <w:rFonts w:ascii="Arial" w:hAnsi="Arial" w:cs="Arial"/>
          <w:color w:val="000000" w:themeColor="text1"/>
        </w:rPr>
        <w:t>Das Eigenvermögen der Raiffeisen Landesbank Südtirol ist durch die positive Wertentwicklung der italienischen Staatspapiere und die Ende des Jahres durchgeführte Kapitalerhöhung über 25 Mio. Euro im Laufe des Jahres 2019 von 326 Mio. Euro auf 394 Mio. Euro (+21,03%) angestiegen.</w:t>
      </w:r>
    </w:p>
    <w:p w:rsidR="00936F0A" w:rsidRPr="00A54C59" w:rsidRDefault="00936F0A" w:rsidP="00936F0A">
      <w:pPr>
        <w:jc w:val="both"/>
        <w:rPr>
          <w:rFonts w:ascii="Arial" w:hAnsi="Arial" w:cs="Arial"/>
          <w:color w:val="000000" w:themeColor="text1"/>
        </w:rPr>
      </w:pPr>
      <w:r w:rsidRPr="00A54C59">
        <w:rPr>
          <w:rFonts w:ascii="Arial" w:hAnsi="Arial" w:cs="Arial"/>
          <w:color w:val="000000" w:themeColor="text1"/>
        </w:rPr>
        <w:t>Die harte Kernkapitalquote (sogenannte „CET 1-Quote") ist mit 16,12% mehr als doppelt so hoch wie aufsichtsrechtlich vorgegeben.</w:t>
      </w:r>
    </w:p>
    <w:p w:rsidR="00AB2EA8" w:rsidRPr="00A54C59" w:rsidRDefault="00AB2EA8" w:rsidP="006A01AE">
      <w:pPr>
        <w:autoSpaceDE w:val="0"/>
        <w:autoSpaceDN w:val="0"/>
        <w:adjustRightInd w:val="0"/>
        <w:rPr>
          <w:rFonts w:ascii="Arial" w:hAnsi="Arial" w:cs="Arial"/>
          <w:color w:val="000000" w:themeColor="text1"/>
        </w:rPr>
      </w:pPr>
    </w:p>
    <w:p w:rsidR="00E0485A" w:rsidRPr="00A54C59" w:rsidRDefault="00EA21EE" w:rsidP="00E0485A">
      <w:pPr>
        <w:spacing w:line="280" w:lineRule="exact"/>
        <w:jc w:val="both"/>
        <w:rPr>
          <w:rFonts w:ascii="Arial" w:hAnsi="Arial" w:cs="Arial"/>
          <w:b/>
          <w:color w:val="000000" w:themeColor="text1"/>
        </w:rPr>
      </w:pPr>
      <w:r w:rsidRPr="00A54C59">
        <w:rPr>
          <w:rFonts w:ascii="Arial" w:hAnsi="Arial" w:cs="Arial"/>
          <w:b/>
          <w:color w:val="000000" w:themeColor="text1"/>
        </w:rPr>
        <w:t>Top-E</w:t>
      </w:r>
      <w:r w:rsidR="00E0485A" w:rsidRPr="00A54C59">
        <w:rPr>
          <w:rFonts w:ascii="Arial" w:hAnsi="Arial" w:cs="Arial"/>
          <w:b/>
          <w:color w:val="000000" w:themeColor="text1"/>
        </w:rPr>
        <w:t>rgebnis</w:t>
      </w:r>
    </w:p>
    <w:p w:rsidR="007D0F89" w:rsidRPr="00A54C59" w:rsidRDefault="00187CDC" w:rsidP="007D0F89">
      <w:pPr>
        <w:jc w:val="both"/>
        <w:rPr>
          <w:rFonts w:ascii="Arial" w:hAnsi="Arial" w:cs="Arial"/>
          <w:color w:val="000000" w:themeColor="text1"/>
        </w:rPr>
      </w:pPr>
      <w:r w:rsidRPr="00A54C59">
        <w:rPr>
          <w:rFonts w:ascii="Arial" w:hAnsi="Arial" w:cs="Arial"/>
          <w:color w:val="000000" w:themeColor="text1"/>
        </w:rPr>
        <w:t>Im</w:t>
      </w:r>
      <w:r w:rsidR="00E0485A" w:rsidRPr="00A54C59">
        <w:rPr>
          <w:rFonts w:ascii="Arial" w:hAnsi="Arial" w:cs="Arial"/>
          <w:color w:val="000000" w:themeColor="text1"/>
        </w:rPr>
        <w:t xml:space="preserve"> Jahr 2019 </w:t>
      </w:r>
      <w:r w:rsidRPr="00A54C59">
        <w:rPr>
          <w:rFonts w:ascii="Arial" w:hAnsi="Arial" w:cs="Arial"/>
          <w:color w:val="000000" w:themeColor="text1"/>
        </w:rPr>
        <w:t xml:space="preserve">ist es der Raiffeisen Landesbank Südtirol </w:t>
      </w:r>
      <w:r w:rsidR="006A01AE" w:rsidRPr="00A54C59">
        <w:rPr>
          <w:rFonts w:ascii="Arial" w:hAnsi="Arial" w:cs="Arial"/>
          <w:color w:val="000000" w:themeColor="text1"/>
        </w:rPr>
        <w:t>gelungen,</w:t>
      </w:r>
      <w:r w:rsidR="00696453" w:rsidRPr="00A54C59">
        <w:rPr>
          <w:rFonts w:ascii="Arial" w:hAnsi="Arial" w:cs="Arial"/>
          <w:color w:val="000000" w:themeColor="text1"/>
        </w:rPr>
        <w:t xml:space="preserve"> </w:t>
      </w:r>
      <w:r w:rsidR="006A01AE" w:rsidRPr="00A54C59">
        <w:rPr>
          <w:rFonts w:ascii="Arial" w:hAnsi="Arial" w:cs="Arial"/>
          <w:color w:val="000000" w:themeColor="text1"/>
        </w:rPr>
        <w:t xml:space="preserve">einen Gewinn vor Steuern von </w:t>
      </w:r>
      <w:r w:rsidR="009668F3" w:rsidRPr="00A54C59">
        <w:rPr>
          <w:rFonts w:ascii="Arial" w:hAnsi="Arial" w:cs="Arial"/>
          <w:color w:val="000000" w:themeColor="text1"/>
        </w:rPr>
        <w:t>3</w:t>
      </w:r>
      <w:r w:rsidR="00513E8A" w:rsidRPr="00A54C59">
        <w:rPr>
          <w:rFonts w:ascii="Arial" w:hAnsi="Arial" w:cs="Arial"/>
          <w:color w:val="000000" w:themeColor="text1"/>
        </w:rPr>
        <w:t>9</w:t>
      </w:r>
      <w:r w:rsidR="00247799" w:rsidRPr="00A54C59">
        <w:rPr>
          <w:rFonts w:ascii="Arial" w:hAnsi="Arial" w:cs="Arial"/>
          <w:color w:val="000000" w:themeColor="text1"/>
        </w:rPr>
        <w:t>,</w:t>
      </w:r>
      <w:r w:rsidR="009668F3" w:rsidRPr="00A54C59">
        <w:rPr>
          <w:rFonts w:ascii="Arial" w:hAnsi="Arial" w:cs="Arial"/>
          <w:color w:val="000000" w:themeColor="text1"/>
        </w:rPr>
        <w:t>82</w:t>
      </w:r>
      <w:r w:rsidR="006A01AE" w:rsidRPr="00A54C59">
        <w:rPr>
          <w:rFonts w:ascii="Arial" w:hAnsi="Arial" w:cs="Arial"/>
          <w:color w:val="000000" w:themeColor="text1"/>
        </w:rPr>
        <w:t xml:space="preserve"> Mio. Euro zu erwirtschaften. </w:t>
      </w:r>
      <w:r w:rsidR="007D0F89" w:rsidRPr="00A54C59">
        <w:rPr>
          <w:rFonts w:ascii="Arial" w:hAnsi="Arial" w:cs="Arial"/>
          <w:color w:val="000000" w:themeColor="text1"/>
        </w:rPr>
        <w:t xml:space="preserve">„Wir verfügen über die notwendigen Reserven zur Gestaltung der bevorstehenden Jahre. In Zukunft werden wir, die Raiffeisenkassen und die Südtiroler hart daran arbeiten, um den Wohlstand im Land zu erhalten“, sagt Grüner. </w:t>
      </w:r>
    </w:p>
    <w:p w:rsidR="00936F0A" w:rsidRPr="00A54C59" w:rsidRDefault="00E0485A" w:rsidP="00936F0A">
      <w:pPr>
        <w:jc w:val="both"/>
        <w:rPr>
          <w:rFonts w:ascii="Arial" w:hAnsi="Arial" w:cs="Arial"/>
          <w:color w:val="000000" w:themeColor="text1"/>
        </w:rPr>
      </w:pPr>
      <w:r w:rsidRPr="00A54C59">
        <w:rPr>
          <w:rFonts w:ascii="Arial" w:hAnsi="Arial" w:cs="Arial"/>
          <w:color w:val="000000" w:themeColor="text1"/>
        </w:rPr>
        <w:t xml:space="preserve">Der Reingewinn 2019 von 29,3 </w:t>
      </w:r>
      <w:r w:rsidR="009B06CD">
        <w:rPr>
          <w:rFonts w:ascii="Arial" w:hAnsi="Arial" w:cs="Arial"/>
          <w:color w:val="000000" w:themeColor="text1"/>
        </w:rPr>
        <w:t xml:space="preserve">Millionen </w:t>
      </w:r>
      <w:r w:rsidRPr="00A54C59">
        <w:rPr>
          <w:rFonts w:ascii="Arial" w:hAnsi="Arial" w:cs="Arial"/>
          <w:color w:val="000000" w:themeColor="text1"/>
        </w:rPr>
        <w:t xml:space="preserve">Euro ist das beste Jahresergebnis seit dem Bestehen der Bank. </w:t>
      </w:r>
      <w:r w:rsidR="00936F0A" w:rsidRPr="00A54C59">
        <w:rPr>
          <w:rFonts w:ascii="Arial" w:hAnsi="Arial" w:cs="Arial"/>
          <w:color w:val="000000" w:themeColor="text1"/>
        </w:rPr>
        <w:t xml:space="preserve">Die Dividendenrendite im Jahr 2019 lag bei 6,92%. </w:t>
      </w:r>
    </w:p>
    <w:p w:rsidR="00936F0A" w:rsidRPr="00A54C59" w:rsidRDefault="00936F0A" w:rsidP="00936F0A">
      <w:pPr>
        <w:jc w:val="both"/>
        <w:rPr>
          <w:rFonts w:ascii="Arial" w:hAnsi="Arial" w:cs="Arial"/>
          <w:color w:val="000000" w:themeColor="text1"/>
        </w:rPr>
      </w:pPr>
      <w:r w:rsidRPr="00A54C59">
        <w:rPr>
          <w:rFonts w:ascii="Arial" w:hAnsi="Arial" w:cs="Arial"/>
          <w:color w:val="000000" w:themeColor="text1"/>
        </w:rPr>
        <w:t xml:space="preserve">Die Gesellschafterversammlung hat heute die Ergebnisse beschlossen. </w:t>
      </w:r>
    </w:p>
    <w:p w:rsidR="00825BE5" w:rsidRPr="00A54C59" w:rsidRDefault="00825BE5" w:rsidP="006A01AE">
      <w:pPr>
        <w:autoSpaceDE w:val="0"/>
        <w:autoSpaceDN w:val="0"/>
        <w:adjustRightInd w:val="0"/>
        <w:jc w:val="both"/>
        <w:rPr>
          <w:rFonts w:ascii="Arial" w:hAnsi="Arial" w:cs="Arial"/>
          <w:color w:val="000000" w:themeColor="text1"/>
        </w:rPr>
      </w:pPr>
    </w:p>
    <w:p w:rsidR="005D036D" w:rsidRPr="00A54C59" w:rsidRDefault="005D036D" w:rsidP="005D036D">
      <w:pPr>
        <w:jc w:val="both"/>
        <w:rPr>
          <w:rFonts w:ascii="Arial" w:hAnsi="Arial" w:cs="Arial"/>
          <w:b/>
          <w:color w:val="000000" w:themeColor="text1"/>
        </w:rPr>
      </w:pPr>
      <w:r w:rsidRPr="00A54C59">
        <w:rPr>
          <w:rFonts w:ascii="Arial" w:hAnsi="Arial" w:cs="Arial"/>
          <w:b/>
          <w:color w:val="000000" w:themeColor="text1"/>
        </w:rPr>
        <w:t>Starker Partner für Südtirol</w:t>
      </w:r>
    </w:p>
    <w:p w:rsidR="005D036D" w:rsidRPr="00A54C59" w:rsidRDefault="005D036D" w:rsidP="005D036D">
      <w:pPr>
        <w:autoSpaceDE w:val="0"/>
        <w:autoSpaceDN w:val="0"/>
        <w:adjustRightInd w:val="0"/>
        <w:jc w:val="both"/>
        <w:rPr>
          <w:rFonts w:ascii="Arial" w:hAnsi="Arial" w:cs="Arial"/>
          <w:color w:val="000000" w:themeColor="text1"/>
          <w:spacing w:val="-4"/>
        </w:rPr>
      </w:pPr>
      <w:r w:rsidRPr="00A54C59">
        <w:rPr>
          <w:rFonts w:ascii="Arial" w:hAnsi="Arial" w:cs="Arial"/>
          <w:color w:val="000000" w:themeColor="text1"/>
        </w:rPr>
        <w:t>Die RLB hat die guten Jahre genützt und wiederholt hervorragende Ergebnisse vorgelegt. Die Unternehmenszahlen 2019 zementieren dieses stabile Fundament. „Wir begleiten</w:t>
      </w:r>
      <w:r w:rsidRPr="00A54C59">
        <w:rPr>
          <w:rFonts w:ascii="Arial" w:hAnsi="Arial" w:cs="Arial"/>
          <w:color w:val="000000" w:themeColor="text1"/>
          <w:spacing w:val="-4"/>
        </w:rPr>
        <w:t xml:space="preserve"> unsere Kunden in der aktuell sehr heiklen Lage aus einer Position der Stärke heraus. Seit März bieten wir gemeinsam mit den Raiffeisenkassen Lösungen für die Überbrückung der Corona-Quarantäne durch Aussetzung bzw. Verlängerung bestehender Finanzierungen an. Ende April sind wir mit begünstigten Darlehen, Bevorschussungen und Vorfinanzierungen für Private, Unternehmen und Vereine gestartet“, berichtet Generaldirektor </w:t>
      </w:r>
      <w:proofErr w:type="spellStart"/>
      <w:r w:rsidRPr="00A54C59">
        <w:rPr>
          <w:rFonts w:ascii="Arial" w:hAnsi="Arial" w:cs="Arial"/>
          <w:color w:val="000000" w:themeColor="text1"/>
          <w:spacing w:val="-4"/>
        </w:rPr>
        <w:t>Zenone</w:t>
      </w:r>
      <w:proofErr w:type="spellEnd"/>
      <w:r w:rsidRPr="00A54C59">
        <w:rPr>
          <w:rFonts w:ascii="Arial" w:hAnsi="Arial" w:cs="Arial"/>
          <w:color w:val="000000" w:themeColor="text1"/>
          <w:spacing w:val="-4"/>
        </w:rPr>
        <w:t xml:space="preserve"> </w:t>
      </w:r>
      <w:proofErr w:type="spellStart"/>
      <w:r w:rsidRPr="00A54C59">
        <w:rPr>
          <w:rFonts w:ascii="Arial" w:hAnsi="Arial" w:cs="Arial"/>
          <w:color w:val="000000" w:themeColor="text1"/>
          <w:spacing w:val="-4"/>
        </w:rPr>
        <w:t>Giacomuzzi</w:t>
      </w:r>
      <w:proofErr w:type="spellEnd"/>
      <w:r w:rsidRPr="00A54C59">
        <w:rPr>
          <w:rFonts w:ascii="Arial" w:hAnsi="Arial" w:cs="Arial"/>
          <w:color w:val="000000" w:themeColor="text1"/>
          <w:spacing w:val="-4"/>
        </w:rPr>
        <w:t>. Oberstes Ziel ist es, die Südtiroler schnell und unbürokratisch zu unterstützen und mit Liquidität zu versorgen.</w:t>
      </w:r>
    </w:p>
    <w:p w:rsidR="005D036D" w:rsidRPr="00A54C59" w:rsidRDefault="005D036D" w:rsidP="005D036D">
      <w:pPr>
        <w:rPr>
          <w:rFonts w:ascii="Arial" w:hAnsi="Arial" w:cs="Arial"/>
          <w:color w:val="000000" w:themeColor="text1"/>
        </w:rPr>
      </w:pPr>
    </w:p>
    <w:p w:rsidR="006A01AE" w:rsidRPr="00A54C59" w:rsidRDefault="009B06CD" w:rsidP="006A01AE">
      <w:pPr>
        <w:autoSpaceDE w:val="0"/>
        <w:autoSpaceDN w:val="0"/>
        <w:adjustRightInd w:val="0"/>
        <w:rPr>
          <w:rFonts w:ascii="Arial" w:hAnsi="Arial" w:cs="Arial"/>
          <w:b/>
          <w:bCs/>
          <w:color w:val="000000" w:themeColor="text1"/>
        </w:rPr>
      </w:pPr>
      <w:r>
        <w:rPr>
          <w:rFonts w:ascii="Arial" w:hAnsi="Arial" w:cs="Arial"/>
          <w:b/>
          <w:bCs/>
          <w:color w:val="000000" w:themeColor="text1"/>
        </w:rPr>
        <w:lastRenderedPageBreak/>
        <w:br/>
      </w:r>
      <w:r w:rsidR="006A01AE" w:rsidRPr="00A54C59">
        <w:rPr>
          <w:rFonts w:ascii="Arial" w:hAnsi="Arial" w:cs="Arial"/>
          <w:b/>
          <w:bCs/>
          <w:color w:val="000000" w:themeColor="text1"/>
        </w:rPr>
        <w:t>Ausblick</w:t>
      </w:r>
    </w:p>
    <w:p w:rsidR="00D452FF" w:rsidRPr="00A54C59" w:rsidRDefault="003E3AD3" w:rsidP="00EA21EE">
      <w:pPr>
        <w:jc w:val="both"/>
        <w:rPr>
          <w:rFonts w:ascii="Arial" w:hAnsi="Arial" w:cs="Arial"/>
          <w:color w:val="000000" w:themeColor="text1"/>
        </w:rPr>
      </w:pPr>
      <w:r w:rsidRPr="00A54C59">
        <w:rPr>
          <w:rFonts w:ascii="Arial" w:hAnsi="Arial" w:cs="Arial"/>
          <w:color w:val="000000" w:themeColor="text1"/>
        </w:rPr>
        <w:t>Derzeit ist es schwierig, die Folgen des Covid-19-Notstands auf Südtirol genau abzuschätzen. „Wir erleben derzeitige eine völlig neue Situation mit vielen Unbekannten. Die letzten g</w:t>
      </w:r>
      <w:r w:rsidR="00EF28E1" w:rsidRPr="00A54C59">
        <w:rPr>
          <w:rFonts w:ascii="Arial" w:hAnsi="Arial" w:cs="Arial"/>
          <w:color w:val="000000" w:themeColor="text1"/>
        </w:rPr>
        <w:t xml:space="preserve">uten Wachstumsjahre konnten die Südtiroler </w:t>
      </w:r>
      <w:r w:rsidRPr="00A54C59">
        <w:rPr>
          <w:rFonts w:ascii="Arial" w:hAnsi="Arial" w:cs="Arial"/>
          <w:color w:val="000000" w:themeColor="text1"/>
        </w:rPr>
        <w:t xml:space="preserve">Unternehmen </w:t>
      </w:r>
      <w:r w:rsidR="002D0081" w:rsidRPr="00A54C59">
        <w:rPr>
          <w:rFonts w:ascii="Arial" w:hAnsi="Arial" w:cs="Arial"/>
          <w:color w:val="000000" w:themeColor="text1"/>
        </w:rPr>
        <w:t xml:space="preserve">für sich </w:t>
      </w:r>
      <w:r w:rsidRPr="00A54C59">
        <w:rPr>
          <w:rFonts w:ascii="Arial" w:hAnsi="Arial" w:cs="Arial"/>
          <w:color w:val="000000" w:themeColor="text1"/>
        </w:rPr>
        <w:t xml:space="preserve">nützen. </w:t>
      </w:r>
      <w:r w:rsidR="00EF28E1" w:rsidRPr="00A54C59">
        <w:rPr>
          <w:rFonts w:ascii="Arial" w:hAnsi="Arial" w:cs="Arial"/>
          <w:color w:val="000000" w:themeColor="text1"/>
        </w:rPr>
        <w:t xml:space="preserve">Auch jetzt sind </w:t>
      </w:r>
      <w:r w:rsidRPr="00A54C59">
        <w:rPr>
          <w:rFonts w:ascii="Arial" w:hAnsi="Arial" w:cs="Arial"/>
          <w:color w:val="000000" w:themeColor="text1"/>
        </w:rPr>
        <w:t xml:space="preserve">unsere </w:t>
      </w:r>
      <w:r w:rsidR="002D0081" w:rsidRPr="00A54C59">
        <w:rPr>
          <w:rFonts w:ascii="Arial" w:hAnsi="Arial" w:cs="Arial"/>
          <w:color w:val="000000" w:themeColor="text1"/>
        </w:rPr>
        <w:t xml:space="preserve">Kunden </w:t>
      </w:r>
      <w:r w:rsidRPr="00A54C59">
        <w:rPr>
          <w:rFonts w:ascii="Arial" w:hAnsi="Arial" w:cs="Arial"/>
          <w:color w:val="000000" w:themeColor="text1"/>
        </w:rPr>
        <w:t>aktiv</w:t>
      </w:r>
      <w:r w:rsidR="00EA21EE" w:rsidRPr="00A54C59">
        <w:rPr>
          <w:rFonts w:ascii="Arial" w:hAnsi="Arial" w:cs="Arial"/>
          <w:color w:val="000000" w:themeColor="text1"/>
        </w:rPr>
        <w:t xml:space="preserve"> </w:t>
      </w:r>
      <w:r w:rsidRPr="00A54C59">
        <w:rPr>
          <w:rFonts w:ascii="Arial" w:hAnsi="Arial" w:cs="Arial"/>
          <w:color w:val="000000" w:themeColor="text1"/>
        </w:rPr>
        <w:t xml:space="preserve">und </w:t>
      </w:r>
      <w:r w:rsidR="00EF28E1" w:rsidRPr="00A54C59">
        <w:rPr>
          <w:rFonts w:ascii="Arial" w:hAnsi="Arial" w:cs="Arial"/>
          <w:color w:val="000000" w:themeColor="text1"/>
        </w:rPr>
        <w:t xml:space="preserve">nehmen </w:t>
      </w:r>
      <w:r w:rsidRPr="00A54C59">
        <w:rPr>
          <w:rFonts w:ascii="Arial" w:hAnsi="Arial" w:cs="Arial"/>
          <w:color w:val="000000" w:themeColor="text1"/>
        </w:rPr>
        <w:t>die angebote</w:t>
      </w:r>
      <w:r w:rsidR="00825BE5" w:rsidRPr="00A54C59">
        <w:rPr>
          <w:rFonts w:ascii="Arial" w:hAnsi="Arial" w:cs="Arial"/>
          <w:color w:val="000000" w:themeColor="text1"/>
        </w:rPr>
        <w:t>nen Kredite und Stundungen an.</w:t>
      </w:r>
    </w:p>
    <w:p w:rsidR="00C54C2B" w:rsidRPr="00A54C59" w:rsidRDefault="003E3AD3" w:rsidP="00EA21EE">
      <w:pPr>
        <w:jc w:val="both"/>
        <w:rPr>
          <w:rFonts w:ascii="Arial" w:hAnsi="Arial" w:cs="Arial"/>
          <w:color w:val="000000" w:themeColor="text1"/>
        </w:rPr>
      </w:pPr>
      <w:r w:rsidRPr="00A54C59">
        <w:rPr>
          <w:rFonts w:ascii="Arial" w:hAnsi="Arial" w:cs="Arial"/>
          <w:color w:val="000000" w:themeColor="text1"/>
        </w:rPr>
        <w:t>Die massiven Unterstützungsmaßnahmen sollten das Wirtschaftssystem baldmöglichst stabilisieren. Wir arbeiten eng mit dem Land und den anderen beiden Lokalbanken zusammen. Unsere Kunden können sich auf uns verlassen</w:t>
      </w:r>
      <w:r w:rsidR="00A274EF" w:rsidRPr="00A54C59">
        <w:rPr>
          <w:rFonts w:ascii="Arial" w:hAnsi="Arial" w:cs="Arial"/>
          <w:color w:val="000000" w:themeColor="text1"/>
        </w:rPr>
        <w:t xml:space="preserve">“, sagt </w:t>
      </w:r>
      <w:proofErr w:type="spellStart"/>
      <w:r w:rsidR="00A274EF" w:rsidRPr="00A54C59">
        <w:rPr>
          <w:rFonts w:ascii="Arial" w:hAnsi="Arial" w:cs="Arial"/>
          <w:color w:val="000000" w:themeColor="text1"/>
        </w:rPr>
        <w:t>Zenone</w:t>
      </w:r>
      <w:proofErr w:type="spellEnd"/>
      <w:r w:rsidR="00A274EF" w:rsidRPr="00A54C59">
        <w:rPr>
          <w:rFonts w:ascii="Arial" w:hAnsi="Arial" w:cs="Arial"/>
          <w:color w:val="000000" w:themeColor="text1"/>
        </w:rPr>
        <w:t xml:space="preserve"> </w:t>
      </w:r>
      <w:proofErr w:type="spellStart"/>
      <w:r w:rsidR="00A274EF" w:rsidRPr="00A54C59">
        <w:rPr>
          <w:rFonts w:ascii="Arial" w:hAnsi="Arial" w:cs="Arial"/>
          <w:color w:val="000000" w:themeColor="text1"/>
        </w:rPr>
        <w:t>Giacomuzzi</w:t>
      </w:r>
      <w:proofErr w:type="spellEnd"/>
      <w:r w:rsidR="00A274EF" w:rsidRPr="00A54C59">
        <w:rPr>
          <w:rFonts w:ascii="Arial" w:hAnsi="Arial" w:cs="Arial"/>
          <w:color w:val="000000" w:themeColor="text1"/>
        </w:rPr>
        <w:t>.</w:t>
      </w:r>
    </w:p>
    <w:p w:rsidR="00541EAF" w:rsidRPr="00A54C59" w:rsidRDefault="00541EAF" w:rsidP="00EA21EE">
      <w:pPr>
        <w:spacing w:line="280" w:lineRule="exact"/>
        <w:jc w:val="both"/>
        <w:rPr>
          <w:rFonts w:ascii="Arial" w:hAnsi="Arial" w:cs="Arial"/>
          <w:color w:val="000000" w:themeColor="text1"/>
        </w:rPr>
      </w:pPr>
    </w:p>
    <w:p w:rsidR="00F65A4E" w:rsidRPr="00A54C59" w:rsidRDefault="00F65A4E" w:rsidP="00EA21EE">
      <w:pPr>
        <w:spacing w:line="280" w:lineRule="exact"/>
        <w:jc w:val="both"/>
        <w:rPr>
          <w:rFonts w:ascii="Arial" w:hAnsi="Arial" w:cs="Arial"/>
          <w:color w:val="000000" w:themeColor="text1"/>
        </w:rPr>
      </w:pPr>
      <w:r w:rsidRPr="00A54C59">
        <w:rPr>
          <w:rFonts w:ascii="Arial" w:hAnsi="Arial" w:cs="Arial"/>
          <w:color w:val="000000" w:themeColor="text1"/>
        </w:rPr>
        <w:t>Im Focus stehen weiterhin die hohe Qualität der Produkt</w:t>
      </w:r>
      <w:r w:rsidR="00A274EF" w:rsidRPr="00A54C59">
        <w:rPr>
          <w:rFonts w:ascii="Arial" w:hAnsi="Arial" w:cs="Arial"/>
          <w:color w:val="000000" w:themeColor="text1"/>
        </w:rPr>
        <w:t>e und Dienstleistungen für di</w:t>
      </w:r>
      <w:r w:rsidRPr="00A54C59">
        <w:rPr>
          <w:rFonts w:ascii="Arial" w:hAnsi="Arial" w:cs="Arial"/>
          <w:color w:val="000000" w:themeColor="text1"/>
        </w:rPr>
        <w:t>e Kunden, die umsichtige Verwaltung der Ressourcen und die sorgfältige Prüfung der Rückzahlungsfähigkeit der Kreditnehmer.</w:t>
      </w:r>
    </w:p>
    <w:p w:rsidR="00527F18" w:rsidRPr="00A54C59" w:rsidRDefault="00527F18" w:rsidP="00527F18">
      <w:pPr>
        <w:spacing w:line="280" w:lineRule="exact"/>
        <w:jc w:val="both"/>
        <w:rPr>
          <w:rFonts w:ascii="Arial" w:hAnsi="Arial" w:cs="Arial"/>
          <w:color w:val="000000" w:themeColor="text1"/>
        </w:rPr>
      </w:pPr>
      <w:r w:rsidRPr="00A54C59">
        <w:rPr>
          <w:rFonts w:ascii="Arial" w:hAnsi="Arial" w:cs="Arial"/>
          <w:color w:val="000000" w:themeColor="text1"/>
        </w:rPr>
        <w:t xml:space="preserve">„Mit der Genehmigung des Dreijahresplans 2020-2023 hat der Verwaltungsrat im Februar klare Vorgaben fixiert und die notwendigen Ressourcen zur Verfügung gestellt. Die Gremien und das Management sind darauf ausgerichtet, den sehr soliden Status quo </w:t>
      </w:r>
      <w:r w:rsidR="00C707B8" w:rsidRPr="00A54C59">
        <w:rPr>
          <w:rFonts w:ascii="Arial" w:hAnsi="Arial" w:cs="Arial"/>
          <w:color w:val="000000" w:themeColor="text1"/>
        </w:rPr>
        <w:t xml:space="preserve">zu </w:t>
      </w:r>
      <w:r w:rsidRPr="00A54C59">
        <w:rPr>
          <w:rFonts w:ascii="Arial" w:hAnsi="Arial" w:cs="Arial"/>
          <w:color w:val="000000" w:themeColor="text1"/>
        </w:rPr>
        <w:t xml:space="preserve">verteidigen und weitere ehrgeizige Ziele zu erreichen. Die Voraussetzungen für eine erfolgreiche Bewältigung der </w:t>
      </w:r>
      <w:r w:rsidR="00D452FF" w:rsidRPr="00A54C59">
        <w:rPr>
          <w:rFonts w:ascii="Arial" w:hAnsi="Arial" w:cs="Arial"/>
          <w:color w:val="000000" w:themeColor="text1"/>
        </w:rPr>
        <w:t>außerordentlichen</w:t>
      </w:r>
      <w:r w:rsidRPr="00A54C59">
        <w:rPr>
          <w:rFonts w:ascii="Arial" w:hAnsi="Arial" w:cs="Arial"/>
          <w:color w:val="000000" w:themeColor="text1"/>
        </w:rPr>
        <w:t xml:space="preserve"> Aufgaben de</w:t>
      </w:r>
      <w:r w:rsidR="00D452FF" w:rsidRPr="00A54C59">
        <w:rPr>
          <w:rFonts w:ascii="Arial" w:hAnsi="Arial" w:cs="Arial"/>
          <w:color w:val="000000" w:themeColor="text1"/>
        </w:rPr>
        <w:t xml:space="preserve">s </w:t>
      </w:r>
      <w:r w:rsidRPr="00A54C59">
        <w:rPr>
          <w:rFonts w:ascii="Arial" w:hAnsi="Arial" w:cs="Arial"/>
          <w:color w:val="000000" w:themeColor="text1"/>
        </w:rPr>
        <w:t>Jahres 2020 sind jedenfalls gegeben“, so abschließend der Generaldirektor.</w:t>
      </w:r>
    </w:p>
    <w:p w:rsidR="007C125C" w:rsidRPr="00A54C59" w:rsidRDefault="007C125C" w:rsidP="00527F18">
      <w:pPr>
        <w:spacing w:line="280" w:lineRule="exact"/>
        <w:jc w:val="both"/>
        <w:rPr>
          <w:rFonts w:ascii="Arial" w:hAnsi="Arial" w:cs="Arial"/>
          <w:color w:val="000000" w:themeColor="text1"/>
        </w:rPr>
      </w:pPr>
    </w:p>
    <w:p w:rsidR="008B5224" w:rsidRPr="00A54C59" w:rsidRDefault="008B5224" w:rsidP="008B5224">
      <w:pPr>
        <w:spacing w:line="280" w:lineRule="exact"/>
        <w:jc w:val="both"/>
        <w:rPr>
          <w:rFonts w:ascii="Arial" w:hAnsi="Arial" w:cs="Arial"/>
          <w:b/>
          <w:color w:val="000000" w:themeColor="text1"/>
        </w:rPr>
      </w:pPr>
      <w:r w:rsidRPr="00A54C59">
        <w:rPr>
          <w:rFonts w:ascii="Arial" w:hAnsi="Arial" w:cs="Arial"/>
          <w:b/>
          <w:color w:val="000000" w:themeColor="text1"/>
        </w:rPr>
        <w:t>Wurzeln stärken</w:t>
      </w:r>
    </w:p>
    <w:p w:rsidR="008B5224" w:rsidRPr="00A54C59" w:rsidRDefault="008B5224" w:rsidP="008B5224">
      <w:pPr>
        <w:spacing w:line="280" w:lineRule="exact"/>
        <w:jc w:val="both"/>
        <w:rPr>
          <w:rFonts w:ascii="Arial" w:hAnsi="Arial" w:cs="Arial"/>
          <w:color w:val="000000" w:themeColor="text1"/>
        </w:rPr>
      </w:pPr>
      <w:r w:rsidRPr="00A54C59">
        <w:rPr>
          <w:rFonts w:ascii="Arial" w:hAnsi="Arial" w:cs="Arial"/>
          <w:color w:val="000000" w:themeColor="text1"/>
        </w:rPr>
        <w:t xml:space="preserve">Seit jeher zeigt die Raiffeisen Landesbank, dass Nachhaltigkeit und Unternehmenserfolg kein Widerspruch sind. Im abgelaufenen Geschäftsjahr hat die RLB die drei Nachhaltigkeits-Verantwortungsbereiche „Wirtschaft“, „Soziales“ und „Umwelt“ strukturiert aufgearbeitet und erstmals und auf freiwilliger Basis einen Nachhaltigkeitsbericht im Sinne des </w:t>
      </w:r>
      <w:proofErr w:type="spellStart"/>
      <w:r w:rsidRPr="00A54C59">
        <w:rPr>
          <w:rFonts w:ascii="Arial" w:hAnsi="Arial" w:cs="Arial"/>
          <w:color w:val="000000" w:themeColor="text1"/>
        </w:rPr>
        <w:t>GvD</w:t>
      </w:r>
      <w:proofErr w:type="spellEnd"/>
      <w:r w:rsidRPr="00A54C59">
        <w:rPr>
          <w:rFonts w:ascii="Arial" w:hAnsi="Arial" w:cs="Arial"/>
          <w:color w:val="000000" w:themeColor="text1"/>
        </w:rPr>
        <w:t xml:space="preserve"> 254/2016 verfasst. Bei Workshops mit dem Verwaltungsrat und den Mitarbeitern wurde über Nachhaltigkeit diskutiert, Ziele definiert und ein Maßnahmenpaket geschnürt, wodurch es u.a. gelungen ist, bereits binnen 2019 den CO2-Fußabdruck der Bank zu halbieren. Ein weiteres Ziel ist das Audit Familie und Beruf, mit welchem die RLB ihre Mitarbeiter fördern will. „Gerade in diesen schwierigen Zeiten ist es uns wichtig mit flexiblen und familiennahen Maßnahmen unsere </w:t>
      </w:r>
      <w:proofErr w:type="spellStart"/>
      <w:r w:rsidRPr="00A54C59">
        <w:rPr>
          <w:rFonts w:ascii="Arial" w:hAnsi="Arial" w:cs="Arial"/>
          <w:color w:val="000000" w:themeColor="text1"/>
        </w:rPr>
        <w:t>MitarbeiterInnen</w:t>
      </w:r>
      <w:proofErr w:type="spellEnd"/>
      <w:r w:rsidRPr="00A54C59">
        <w:rPr>
          <w:rFonts w:ascii="Arial" w:hAnsi="Arial" w:cs="Arial"/>
          <w:color w:val="000000" w:themeColor="text1"/>
        </w:rPr>
        <w:t xml:space="preserve"> zu unterstützen, damit die Arbeit zum Wohle unserer Kunden effizient weitergeführt werden kann“ meint </w:t>
      </w:r>
      <w:proofErr w:type="spellStart"/>
      <w:r w:rsidRPr="00A54C59">
        <w:rPr>
          <w:rFonts w:ascii="Arial" w:hAnsi="Arial" w:cs="Arial"/>
          <w:color w:val="000000" w:themeColor="text1"/>
        </w:rPr>
        <w:t>Giacomuzzi</w:t>
      </w:r>
      <w:proofErr w:type="spellEnd"/>
      <w:r w:rsidRPr="00A54C59">
        <w:rPr>
          <w:rFonts w:ascii="Arial" w:hAnsi="Arial" w:cs="Arial"/>
          <w:color w:val="000000" w:themeColor="text1"/>
        </w:rPr>
        <w:t xml:space="preserve">. Dass auch für die Kunden der RLB nachhaltiges Wirtschaften ein zentrales Anliegen ist, zeigen unter anderem das Wachstum an nachhaltigen Investmentfonds (+35,31%) und die vielen erfolgreichen Projekte im Sektor erneuerbare Energien (235,46 Millionen Euro, das entspricht 14,74% des gesamten Kreditvolumens). </w:t>
      </w:r>
    </w:p>
    <w:p w:rsidR="008B5224" w:rsidRPr="00A54C59" w:rsidRDefault="008B5224" w:rsidP="008B5224">
      <w:pPr>
        <w:autoSpaceDE w:val="0"/>
        <w:autoSpaceDN w:val="0"/>
        <w:adjustRightInd w:val="0"/>
        <w:jc w:val="both"/>
        <w:rPr>
          <w:rFonts w:ascii="Arial" w:hAnsi="Arial" w:cs="Arial"/>
          <w:color w:val="000000" w:themeColor="text1"/>
        </w:rPr>
      </w:pPr>
      <w:r w:rsidRPr="00A54C59">
        <w:rPr>
          <w:rFonts w:ascii="Arial" w:hAnsi="Arial" w:cs="Arial"/>
          <w:color w:val="000000" w:themeColor="text1"/>
        </w:rPr>
        <w:t xml:space="preserve">„Die Welt wird nach der Corona-Krise eine andere sein. Wir sehen es als unseren Auftrag, die nachhaltige Entwicklung unseres Tätigkeitsgebiets weiterhin mit schnellen und unbürokratischen Lösungen voranzutreiben. Mit Solidarität und Zuversicht wird es uns gelingen, diese Krise gemeinsam zu meistern und als Chance für eine nachhaltige Zukunft zu nutzen“, meint </w:t>
      </w:r>
      <w:proofErr w:type="spellStart"/>
      <w:r w:rsidRPr="00A54C59">
        <w:rPr>
          <w:rFonts w:ascii="Arial" w:hAnsi="Arial" w:cs="Arial"/>
          <w:color w:val="000000" w:themeColor="text1"/>
        </w:rPr>
        <w:t>Giacomuzzi</w:t>
      </w:r>
      <w:proofErr w:type="spellEnd"/>
      <w:r w:rsidRPr="00A54C59">
        <w:rPr>
          <w:rFonts w:ascii="Arial" w:hAnsi="Arial" w:cs="Arial"/>
          <w:color w:val="000000" w:themeColor="text1"/>
        </w:rPr>
        <w:t>.</w:t>
      </w:r>
    </w:p>
    <w:p w:rsidR="005D036D" w:rsidRPr="00A54C59" w:rsidRDefault="005D036D" w:rsidP="008B5224">
      <w:pPr>
        <w:autoSpaceDE w:val="0"/>
        <w:autoSpaceDN w:val="0"/>
        <w:adjustRightInd w:val="0"/>
        <w:jc w:val="both"/>
        <w:rPr>
          <w:rFonts w:ascii="Arial" w:hAnsi="Arial" w:cs="Arial"/>
          <w:color w:val="000000" w:themeColor="text1"/>
        </w:rPr>
      </w:pPr>
    </w:p>
    <w:p w:rsidR="000967A6" w:rsidRPr="00A54C59" w:rsidRDefault="000967A6" w:rsidP="000967A6">
      <w:pPr>
        <w:spacing w:line="280" w:lineRule="exact"/>
        <w:jc w:val="both"/>
        <w:rPr>
          <w:rFonts w:ascii="Arial" w:hAnsi="Arial" w:cs="Arial"/>
          <w:b/>
          <w:color w:val="000000" w:themeColor="text1"/>
        </w:rPr>
      </w:pPr>
      <w:r w:rsidRPr="00A54C59">
        <w:rPr>
          <w:rFonts w:ascii="Arial" w:hAnsi="Arial" w:cs="Arial"/>
          <w:b/>
          <w:color w:val="000000" w:themeColor="text1"/>
        </w:rPr>
        <w:t>Wechsel an der Spitze</w:t>
      </w:r>
    </w:p>
    <w:p w:rsidR="000967A6" w:rsidRPr="00A54C59" w:rsidRDefault="000967A6" w:rsidP="000967A6">
      <w:pPr>
        <w:autoSpaceDE w:val="0"/>
        <w:autoSpaceDN w:val="0"/>
        <w:adjustRightInd w:val="0"/>
        <w:jc w:val="both"/>
        <w:rPr>
          <w:rFonts w:ascii="Arial" w:hAnsi="Arial" w:cs="Arial"/>
          <w:color w:val="000000" w:themeColor="text1"/>
        </w:rPr>
      </w:pPr>
      <w:r w:rsidRPr="00A54C59">
        <w:rPr>
          <w:rFonts w:ascii="Arial" w:hAnsi="Arial" w:cs="Arial"/>
          <w:color w:val="000000" w:themeColor="text1"/>
        </w:rPr>
        <w:t>„Nach insgesamt 29 Jahren</w:t>
      </w:r>
      <w:r w:rsidR="009B06CD">
        <w:rPr>
          <w:rFonts w:ascii="Arial" w:hAnsi="Arial" w:cs="Arial"/>
          <w:color w:val="000000" w:themeColor="text1"/>
        </w:rPr>
        <w:t xml:space="preserve"> als Mitglied im Verwaltungsrat</w:t>
      </w:r>
      <w:r w:rsidRPr="00A54C59">
        <w:rPr>
          <w:rFonts w:ascii="Arial" w:hAnsi="Arial" w:cs="Arial"/>
          <w:color w:val="000000" w:themeColor="text1"/>
        </w:rPr>
        <w:t xml:space="preserve">, davon 23 als Präsident, </w:t>
      </w:r>
      <w:r w:rsidR="00B67B68">
        <w:rPr>
          <w:rFonts w:ascii="Arial" w:hAnsi="Arial" w:cs="Arial"/>
          <w:color w:val="000000" w:themeColor="text1"/>
        </w:rPr>
        <w:t>l</w:t>
      </w:r>
      <w:r w:rsidRPr="00A54C59">
        <w:rPr>
          <w:rFonts w:ascii="Arial" w:hAnsi="Arial" w:cs="Arial"/>
          <w:color w:val="000000" w:themeColor="text1"/>
        </w:rPr>
        <w:t>e</w:t>
      </w:r>
      <w:r w:rsidR="00B67B68">
        <w:rPr>
          <w:rFonts w:ascii="Arial" w:hAnsi="Arial" w:cs="Arial"/>
          <w:color w:val="000000" w:themeColor="text1"/>
        </w:rPr>
        <w:t>g</w:t>
      </w:r>
      <w:bookmarkStart w:id="0" w:name="_GoBack"/>
      <w:bookmarkEnd w:id="0"/>
      <w:r w:rsidRPr="00A54C59">
        <w:rPr>
          <w:rFonts w:ascii="Arial" w:hAnsi="Arial" w:cs="Arial"/>
          <w:color w:val="000000" w:themeColor="text1"/>
        </w:rPr>
        <w:t xml:space="preserve">e ich nun mein Amt als Präsident zurück. Der Verwaltungsrat wird demnächst den neuen Präsidenten bestimmen. </w:t>
      </w:r>
      <w:r w:rsidR="00B360F8" w:rsidRPr="00B360F8">
        <w:rPr>
          <w:rFonts w:ascii="Arial" w:hAnsi="Arial" w:cs="Arial"/>
          <w:color w:val="000000" w:themeColor="text1"/>
        </w:rPr>
        <w:t xml:space="preserve">Designierter neuer Präsident ist der derzeitige Vizepräsident Hanspeter Felder. </w:t>
      </w:r>
      <w:r w:rsidRPr="00A54C59">
        <w:rPr>
          <w:rFonts w:ascii="Arial" w:hAnsi="Arial" w:cs="Arial"/>
          <w:color w:val="000000" w:themeColor="text1"/>
        </w:rPr>
        <w:t xml:space="preserve">Ich übergebe eine sehr solide Bank und bin überzeugt, dass die Raiffeisen Landesbank die aktuellen Herausforderungen gut meistern wird“, sagt Michael Grüner. Seit 1991 war er Mitglied des Verwaltungsrats, dem er ab 1997 als Präsident vorstand. Der Wechsel an der Spitze des Bankinstituts ist seit längerem geplant. „Michael Grüner hat durch seine Kompetenz und den Blick für das Wesentliche die Entwicklung der </w:t>
      </w:r>
      <w:r w:rsidRPr="00A54C59">
        <w:rPr>
          <w:rFonts w:ascii="Arial" w:hAnsi="Arial" w:cs="Arial"/>
          <w:color w:val="000000" w:themeColor="text1"/>
        </w:rPr>
        <w:lastRenderedPageBreak/>
        <w:t xml:space="preserve">Bank mit geprägt und den Erfolg ermöglicht. Die gesamte Mannschaft und ich bedanken uns für die vielen Jahre guter Zusammenarbeit“, sagt </w:t>
      </w:r>
      <w:proofErr w:type="spellStart"/>
      <w:r w:rsidRPr="00A54C59">
        <w:rPr>
          <w:rFonts w:ascii="Arial" w:hAnsi="Arial" w:cs="Arial"/>
          <w:color w:val="000000" w:themeColor="text1"/>
        </w:rPr>
        <w:t>Zenone</w:t>
      </w:r>
      <w:proofErr w:type="spellEnd"/>
      <w:r w:rsidRPr="00A54C59">
        <w:rPr>
          <w:rFonts w:ascii="Arial" w:hAnsi="Arial" w:cs="Arial"/>
          <w:color w:val="000000" w:themeColor="text1"/>
        </w:rPr>
        <w:t xml:space="preserve"> </w:t>
      </w:r>
      <w:proofErr w:type="spellStart"/>
      <w:r w:rsidRPr="00A54C59">
        <w:rPr>
          <w:rFonts w:ascii="Arial" w:hAnsi="Arial" w:cs="Arial"/>
          <w:color w:val="000000" w:themeColor="text1"/>
        </w:rPr>
        <w:t>Giacomuzzi</w:t>
      </w:r>
      <w:proofErr w:type="spellEnd"/>
      <w:r w:rsidRPr="00A54C59">
        <w:rPr>
          <w:rFonts w:ascii="Arial" w:hAnsi="Arial" w:cs="Arial"/>
          <w:color w:val="000000" w:themeColor="text1"/>
        </w:rPr>
        <w:t xml:space="preserve">. </w:t>
      </w:r>
    </w:p>
    <w:p w:rsidR="00936F0A" w:rsidRPr="009B06CD" w:rsidRDefault="009B06CD" w:rsidP="00936F0A">
      <w:pPr>
        <w:rPr>
          <w:rFonts w:ascii="Arial" w:hAnsi="Arial" w:cs="Arial"/>
          <w:b/>
          <w:color w:val="000000" w:themeColor="text1"/>
        </w:rPr>
      </w:pPr>
      <w:r>
        <w:rPr>
          <w:rFonts w:ascii="Arial" w:hAnsi="Arial" w:cs="Arial"/>
          <w:b/>
          <w:color w:val="000000" w:themeColor="text1"/>
        </w:rPr>
        <w:t>Di</w:t>
      </w:r>
      <w:r w:rsidR="00936F0A" w:rsidRPr="00D33BC9">
        <w:rPr>
          <w:rFonts w:ascii="Arial" w:hAnsi="Arial" w:cs="Arial"/>
          <w:b/>
        </w:rPr>
        <w:t>e wichtigsten Zahlen im Überblick:</w:t>
      </w:r>
    </w:p>
    <w:p w:rsidR="00936F0A" w:rsidRDefault="00936F0A" w:rsidP="00936F0A"/>
    <w:tbl>
      <w:tblPr>
        <w:tblW w:w="10320" w:type="dxa"/>
        <w:tblInd w:w="65" w:type="dxa"/>
        <w:tblCellMar>
          <w:left w:w="70" w:type="dxa"/>
          <w:right w:w="70" w:type="dxa"/>
        </w:tblCellMar>
        <w:tblLook w:val="04A0" w:firstRow="1" w:lastRow="0" w:firstColumn="1" w:lastColumn="0" w:noHBand="0" w:noVBand="1"/>
      </w:tblPr>
      <w:tblGrid>
        <w:gridCol w:w="5180"/>
        <w:gridCol w:w="2080"/>
        <w:gridCol w:w="1720"/>
        <w:gridCol w:w="1340"/>
      </w:tblGrid>
      <w:tr w:rsidR="00BA16A1" w:rsidTr="00BA16A1">
        <w:trPr>
          <w:trHeight w:val="300"/>
        </w:trPr>
        <w:tc>
          <w:tcPr>
            <w:tcW w:w="5180" w:type="dxa"/>
            <w:tcBorders>
              <w:top w:val="single" w:sz="4" w:space="0" w:color="auto"/>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b/>
                <w:bCs/>
                <w:color w:val="000000"/>
                <w:sz w:val="22"/>
                <w:szCs w:val="22"/>
              </w:rPr>
            </w:pPr>
            <w:r>
              <w:rPr>
                <w:rFonts w:ascii="Arial" w:hAnsi="Arial" w:cs="Arial"/>
                <w:b/>
                <w:bCs/>
                <w:color w:val="000000"/>
                <w:sz w:val="22"/>
                <w:szCs w:val="22"/>
              </w:rPr>
              <w:t>Werte in Mio. Euro</w:t>
            </w:r>
          </w:p>
        </w:tc>
        <w:tc>
          <w:tcPr>
            <w:tcW w:w="2080" w:type="dxa"/>
            <w:tcBorders>
              <w:top w:val="single"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b/>
                <w:bCs/>
                <w:sz w:val="22"/>
                <w:szCs w:val="22"/>
              </w:rPr>
            </w:pPr>
            <w:r>
              <w:rPr>
                <w:rFonts w:ascii="Arial" w:hAnsi="Arial" w:cs="Arial"/>
                <w:b/>
                <w:bCs/>
                <w:sz w:val="22"/>
                <w:szCs w:val="22"/>
              </w:rPr>
              <w:t>31.12.2019</w:t>
            </w:r>
          </w:p>
        </w:tc>
        <w:tc>
          <w:tcPr>
            <w:tcW w:w="1720" w:type="dxa"/>
            <w:tcBorders>
              <w:top w:val="single"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b/>
                <w:bCs/>
                <w:sz w:val="22"/>
                <w:szCs w:val="22"/>
              </w:rPr>
            </w:pPr>
            <w:r>
              <w:rPr>
                <w:rFonts w:ascii="Arial" w:hAnsi="Arial" w:cs="Arial"/>
                <w:b/>
                <w:bCs/>
                <w:sz w:val="22"/>
                <w:szCs w:val="22"/>
              </w:rPr>
              <w:t>31.12.2018</w:t>
            </w:r>
          </w:p>
        </w:tc>
        <w:tc>
          <w:tcPr>
            <w:tcW w:w="1340" w:type="dxa"/>
            <w:tcBorders>
              <w:top w:val="single" w:sz="4" w:space="0" w:color="auto"/>
              <w:left w:val="nil"/>
              <w:bottom w:val="dotted" w:sz="4" w:space="0" w:color="auto"/>
              <w:right w:val="single" w:sz="4" w:space="0" w:color="auto"/>
            </w:tcBorders>
            <w:shd w:val="clear" w:color="000000" w:fill="D8E4BC"/>
            <w:noWrap/>
            <w:vAlign w:val="bottom"/>
            <w:hideMark/>
          </w:tcPr>
          <w:p w:rsidR="00BA16A1" w:rsidRDefault="00BA16A1">
            <w:pPr>
              <w:jc w:val="right"/>
              <w:rPr>
                <w:rFonts w:ascii="Arial" w:hAnsi="Arial" w:cs="Arial"/>
                <w:b/>
                <w:bCs/>
                <w:sz w:val="22"/>
                <w:szCs w:val="22"/>
              </w:rPr>
            </w:pPr>
            <w:proofErr w:type="spellStart"/>
            <w:r>
              <w:rPr>
                <w:rFonts w:ascii="Arial" w:hAnsi="Arial" w:cs="Arial"/>
                <w:b/>
                <w:bCs/>
                <w:sz w:val="22"/>
                <w:szCs w:val="22"/>
              </w:rPr>
              <w:t>Veränd</w:t>
            </w:r>
            <w:proofErr w:type="spellEnd"/>
            <w:r>
              <w:rPr>
                <w:rFonts w:ascii="Arial" w:hAnsi="Arial" w:cs="Arial"/>
                <w:b/>
                <w:bCs/>
                <w:sz w:val="22"/>
                <w:szCs w:val="22"/>
              </w:rPr>
              <w:t>. %</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 </w:t>
            </w:r>
          </w:p>
        </w:tc>
        <w:tc>
          <w:tcPr>
            <w:tcW w:w="2080" w:type="dxa"/>
            <w:tcBorders>
              <w:top w:val="nil"/>
              <w:left w:val="nil"/>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 </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 </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 </w:t>
            </w:r>
          </w:p>
        </w:tc>
      </w:tr>
      <w:tr w:rsidR="00BA16A1" w:rsidTr="00BA16A1">
        <w:trPr>
          <w:trHeight w:val="285"/>
        </w:trPr>
        <w:tc>
          <w:tcPr>
            <w:tcW w:w="5180" w:type="dxa"/>
            <w:tcBorders>
              <w:top w:val="nil"/>
              <w:left w:val="single" w:sz="4" w:space="0" w:color="auto"/>
              <w:bottom w:val="nil"/>
              <w:right w:val="nil"/>
            </w:tcBorders>
            <w:shd w:val="clear" w:color="000000" w:fill="ECECEC"/>
            <w:noWrap/>
            <w:vAlign w:val="center"/>
            <w:hideMark/>
          </w:tcPr>
          <w:p w:rsidR="00BA16A1" w:rsidRDefault="00BA16A1">
            <w:pPr>
              <w:rPr>
                <w:rFonts w:ascii="Arial" w:hAnsi="Arial" w:cs="Arial"/>
                <w:color w:val="008000"/>
                <w:sz w:val="22"/>
                <w:szCs w:val="22"/>
              </w:rPr>
            </w:pPr>
            <w:r>
              <w:rPr>
                <w:rFonts w:ascii="Arial" w:hAnsi="Arial" w:cs="Arial"/>
                <w:color w:val="008000"/>
                <w:sz w:val="22"/>
                <w:szCs w:val="22"/>
              </w:rPr>
              <w:t>Bilanz und Gewinn- und Verlustrechnung</w:t>
            </w:r>
          </w:p>
        </w:tc>
        <w:tc>
          <w:tcPr>
            <w:tcW w:w="208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72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340" w:type="dxa"/>
            <w:tcBorders>
              <w:top w:val="nil"/>
              <w:left w:val="nil"/>
              <w:bottom w:val="nil"/>
              <w:right w:val="single" w:sz="4" w:space="0" w:color="auto"/>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r>
      <w:tr w:rsidR="00BA16A1" w:rsidTr="00BA16A1">
        <w:trPr>
          <w:trHeight w:val="255"/>
        </w:trPr>
        <w:tc>
          <w:tcPr>
            <w:tcW w:w="518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Bilanzsumme</w:t>
            </w:r>
          </w:p>
        </w:tc>
        <w:tc>
          <w:tcPr>
            <w:tcW w:w="2080" w:type="dxa"/>
            <w:tcBorders>
              <w:top w:val="dotted"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4.965</w:t>
            </w:r>
          </w:p>
        </w:tc>
        <w:tc>
          <w:tcPr>
            <w:tcW w:w="1720" w:type="dxa"/>
            <w:tcBorders>
              <w:top w:val="dotted" w:sz="4" w:space="0" w:color="auto"/>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4.336</w:t>
            </w:r>
          </w:p>
        </w:tc>
        <w:tc>
          <w:tcPr>
            <w:tcW w:w="1340" w:type="dxa"/>
            <w:tcBorders>
              <w:top w:val="dotted" w:sz="4" w:space="0" w:color="auto"/>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14,51%</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Einlagen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2.187</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1.879</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16,39%</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 xml:space="preserve">   Davon Kundeneinlagen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1.614</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1.492</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8,17%</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Kredite (Nettoausleihungen an Kunden)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1.660</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1.596</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4,02%</w:t>
            </w:r>
          </w:p>
        </w:tc>
      </w:tr>
      <w:tr w:rsidR="00BA16A1" w:rsidTr="00BA16A1">
        <w:trPr>
          <w:trHeight w:val="120"/>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 </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rPr>
                <w:rFonts w:ascii="Arial" w:hAnsi="Arial" w:cs="Arial"/>
                <w:sz w:val="20"/>
                <w:szCs w:val="20"/>
              </w:rPr>
            </w:pPr>
            <w:r>
              <w:rPr>
                <w:rFonts w:ascii="Arial" w:hAnsi="Arial" w:cs="Arial"/>
                <w:sz w:val="20"/>
                <w:szCs w:val="20"/>
              </w:rPr>
              <w:t> </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 </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 </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Gewinn vor Steuern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39,82</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27,31</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45,84%</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Gewinn des Geschäftsjahres</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29,30</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19,05</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53,84%</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Gesellschaftskapital</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225</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200</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12,50%</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Eigenvermögen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394</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326</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21,03%</w:t>
            </w:r>
          </w:p>
        </w:tc>
      </w:tr>
      <w:tr w:rsidR="00BA16A1" w:rsidTr="00BA16A1">
        <w:trPr>
          <w:trHeight w:val="285"/>
        </w:trPr>
        <w:tc>
          <w:tcPr>
            <w:tcW w:w="5180" w:type="dxa"/>
            <w:tcBorders>
              <w:top w:val="nil"/>
              <w:left w:val="single" w:sz="4" w:space="0" w:color="auto"/>
              <w:bottom w:val="nil"/>
              <w:right w:val="nil"/>
            </w:tcBorders>
            <w:shd w:val="clear" w:color="000000" w:fill="ECECEC"/>
            <w:noWrap/>
            <w:vAlign w:val="center"/>
            <w:hideMark/>
          </w:tcPr>
          <w:p w:rsidR="00BA16A1" w:rsidRDefault="00BA16A1">
            <w:pPr>
              <w:rPr>
                <w:rFonts w:ascii="Arial" w:hAnsi="Arial" w:cs="Arial"/>
                <w:color w:val="008000"/>
                <w:sz w:val="22"/>
                <w:szCs w:val="22"/>
              </w:rPr>
            </w:pPr>
            <w:r>
              <w:rPr>
                <w:rFonts w:ascii="Arial" w:hAnsi="Arial" w:cs="Arial"/>
                <w:color w:val="008000"/>
                <w:sz w:val="22"/>
                <w:szCs w:val="22"/>
              </w:rPr>
              <w:t xml:space="preserve">Rating </w:t>
            </w:r>
          </w:p>
        </w:tc>
        <w:tc>
          <w:tcPr>
            <w:tcW w:w="208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72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340" w:type="dxa"/>
            <w:tcBorders>
              <w:top w:val="nil"/>
              <w:left w:val="nil"/>
              <w:bottom w:val="nil"/>
              <w:right w:val="single" w:sz="4" w:space="0" w:color="auto"/>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r>
      <w:tr w:rsidR="00BA16A1" w:rsidTr="00BA16A1">
        <w:trPr>
          <w:trHeight w:val="255"/>
        </w:trPr>
        <w:tc>
          <w:tcPr>
            <w:tcW w:w="5180" w:type="dxa"/>
            <w:tcBorders>
              <w:top w:val="dotted" w:sz="4" w:space="0" w:color="auto"/>
              <w:left w:val="single" w:sz="4" w:space="0" w:color="auto"/>
              <w:bottom w:val="dotted" w:sz="4" w:space="0" w:color="auto"/>
              <w:right w:val="dotted" w:sz="4" w:space="0" w:color="auto"/>
            </w:tcBorders>
            <w:shd w:val="clear" w:color="auto" w:fill="auto"/>
            <w:noWrap/>
            <w:hideMark/>
          </w:tcPr>
          <w:p w:rsidR="00BA16A1" w:rsidRDefault="00BA16A1">
            <w:pPr>
              <w:rPr>
                <w:rFonts w:ascii="Arial" w:hAnsi="Arial" w:cs="Arial"/>
                <w:color w:val="000000"/>
                <w:sz w:val="20"/>
                <w:szCs w:val="20"/>
              </w:rPr>
            </w:pPr>
            <w:r>
              <w:rPr>
                <w:rFonts w:ascii="Arial" w:hAnsi="Arial" w:cs="Arial"/>
                <w:color w:val="000000"/>
                <w:sz w:val="20"/>
                <w:szCs w:val="20"/>
              </w:rPr>
              <w:t xml:space="preserve">Rating von </w:t>
            </w:r>
            <w:proofErr w:type="spellStart"/>
            <w:r>
              <w:rPr>
                <w:rFonts w:ascii="Arial" w:hAnsi="Arial" w:cs="Arial"/>
                <w:color w:val="000000"/>
                <w:sz w:val="20"/>
                <w:szCs w:val="20"/>
              </w:rPr>
              <w:t>Moody’s</w:t>
            </w:r>
            <w:proofErr w:type="spellEnd"/>
            <w:r>
              <w:rPr>
                <w:rFonts w:ascii="Arial" w:hAnsi="Arial" w:cs="Arial"/>
                <w:color w:val="000000"/>
                <w:sz w:val="20"/>
                <w:szCs w:val="20"/>
              </w:rPr>
              <w:t>**</w:t>
            </w:r>
          </w:p>
        </w:tc>
        <w:tc>
          <w:tcPr>
            <w:tcW w:w="2080" w:type="dxa"/>
            <w:tcBorders>
              <w:top w:val="dotted"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Baa1</w:t>
            </w:r>
          </w:p>
        </w:tc>
        <w:tc>
          <w:tcPr>
            <w:tcW w:w="1720" w:type="dxa"/>
            <w:tcBorders>
              <w:top w:val="dotted" w:sz="4" w:space="0" w:color="auto"/>
              <w:left w:val="nil"/>
              <w:bottom w:val="dotted" w:sz="4" w:space="0" w:color="auto"/>
              <w:right w:val="dotted" w:sz="4" w:space="0" w:color="auto"/>
            </w:tcBorders>
            <w:shd w:val="clear" w:color="auto" w:fill="auto"/>
            <w:noWrap/>
            <w:hideMark/>
          </w:tcPr>
          <w:p w:rsidR="00BA16A1" w:rsidRDefault="00BA16A1">
            <w:pPr>
              <w:jc w:val="right"/>
              <w:rPr>
                <w:rFonts w:ascii="Arial" w:hAnsi="Arial" w:cs="Arial"/>
                <w:color w:val="000000"/>
                <w:sz w:val="20"/>
                <w:szCs w:val="20"/>
              </w:rPr>
            </w:pPr>
            <w:r>
              <w:rPr>
                <w:rFonts w:ascii="Arial" w:hAnsi="Arial" w:cs="Arial"/>
                <w:color w:val="000000"/>
                <w:sz w:val="20"/>
                <w:szCs w:val="20"/>
              </w:rPr>
              <w:t>A3</w:t>
            </w:r>
          </w:p>
        </w:tc>
        <w:tc>
          <w:tcPr>
            <w:tcW w:w="1340" w:type="dxa"/>
            <w:tcBorders>
              <w:top w:val="dotted" w:sz="4" w:space="0" w:color="auto"/>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 </w:t>
            </w:r>
          </w:p>
        </w:tc>
      </w:tr>
      <w:tr w:rsidR="00BA16A1" w:rsidTr="00BA16A1">
        <w:trPr>
          <w:trHeight w:val="285"/>
        </w:trPr>
        <w:tc>
          <w:tcPr>
            <w:tcW w:w="5180" w:type="dxa"/>
            <w:tcBorders>
              <w:top w:val="nil"/>
              <w:left w:val="single" w:sz="4" w:space="0" w:color="auto"/>
              <w:bottom w:val="nil"/>
              <w:right w:val="nil"/>
            </w:tcBorders>
            <w:shd w:val="clear" w:color="000000" w:fill="ECECEC"/>
            <w:noWrap/>
            <w:vAlign w:val="center"/>
            <w:hideMark/>
          </w:tcPr>
          <w:p w:rsidR="00BA16A1" w:rsidRDefault="00BA16A1">
            <w:pPr>
              <w:rPr>
                <w:rFonts w:ascii="Arial" w:hAnsi="Arial" w:cs="Arial"/>
                <w:color w:val="008000"/>
                <w:sz w:val="22"/>
                <w:szCs w:val="22"/>
              </w:rPr>
            </w:pPr>
            <w:r>
              <w:rPr>
                <w:rFonts w:ascii="Arial" w:hAnsi="Arial" w:cs="Arial"/>
                <w:color w:val="008000"/>
                <w:sz w:val="22"/>
                <w:szCs w:val="22"/>
              </w:rPr>
              <w:t>Kennzahlen zur Rentabilität</w:t>
            </w:r>
          </w:p>
        </w:tc>
        <w:tc>
          <w:tcPr>
            <w:tcW w:w="208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72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340" w:type="dxa"/>
            <w:tcBorders>
              <w:top w:val="nil"/>
              <w:left w:val="nil"/>
              <w:bottom w:val="nil"/>
              <w:right w:val="single" w:sz="4" w:space="0" w:color="auto"/>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r>
      <w:tr w:rsidR="00BA16A1" w:rsidTr="00BA16A1">
        <w:trPr>
          <w:trHeight w:val="255"/>
        </w:trPr>
        <w:tc>
          <w:tcPr>
            <w:tcW w:w="518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Gewinn des Geschäftsjahres/Eigenkapital (ROE)</w:t>
            </w:r>
          </w:p>
        </w:tc>
        <w:tc>
          <w:tcPr>
            <w:tcW w:w="2080" w:type="dxa"/>
            <w:tcBorders>
              <w:top w:val="dotted"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7,43%</w:t>
            </w:r>
          </w:p>
        </w:tc>
        <w:tc>
          <w:tcPr>
            <w:tcW w:w="1720" w:type="dxa"/>
            <w:tcBorders>
              <w:top w:val="dotted" w:sz="4" w:space="0" w:color="auto"/>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5,85%</w:t>
            </w:r>
          </w:p>
        </w:tc>
        <w:tc>
          <w:tcPr>
            <w:tcW w:w="1340" w:type="dxa"/>
            <w:tcBorders>
              <w:top w:val="dotted" w:sz="4" w:space="0" w:color="auto"/>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27,11%</w:t>
            </w:r>
          </w:p>
        </w:tc>
      </w:tr>
      <w:tr w:rsidR="00BA16A1" w:rsidTr="00BA16A1">
        <w:trPr>
          <w:trHeight w:val="255"/>
        </w:trPr>
        <w:tc>
          <w:tcPr>
            <w:tcW w:w="5180" w:type="dxa"/>
            <w:tcBorders>
              <w:top w:val="nil"/>
              <w:left w:val="single" w:sz="4" w:space="0" w:color="auto"/>
              <w:bottom w:val="nil"/>
              <w:right w:val="nil"/>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Ausgeschüttete Dividenden</w:t>
            </w:r>
          </w:p>
        </w:tc>
        <w:tc>
          <w:tcPr>
            <w:tcW w:w="2080" w:type="dxa"/>
            <w:tcBorders>
              <w:top w:val="nil"/>
              <w:left w:val="dotted" w:sz="4" w:space="0" w:color="auto"/>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14</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7</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94,44%</w:t>
            </w:r>
          </w:p>
        </w:tc>
      </w:tr>
      <w:tr w:rsidR="00BA16A1" w:rsidTr="00BA16A1">
        <w:trPr>
          <w:trHeight w:val="255"/>
        </w:trPr>
        <w:tc>
          <w:tcPr>
            <w:tcW w:w="518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Dividendenrendite</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6,92%</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3,60%</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rPr>
                <w:rFonts w:ascii="Arial" w:hAnsi="Arial" w:cs="Arial"/>
                <w:color w:val="000000"/>
                <w:sz w:val="20"/>
                <w:szCs w:val="20"/>
              </w:rPr>
            </w:pPr>
            <w:r>
              <w:rPr>
                <w:rFonts w:ascii="Arial" w:hAnsi="Arial" w:cs="Arial"/>
                <w:color w:val="000000"/>
                <w:sz w:val="20"/>
                <w:szCs w:val="20"/>
              </w:rPr>
              <w:t> </w:t>
            </w:r>
          </w:p>
        </w:tc>
      </w:tr>
      <w:tr w:rsidR="00BA16A1" w:rsidTr="00BA16A1">
        <w:trPr>
          <w:trHeight w:val="285"/>
        </w:trPr>
        <w:tc>
          <w:tcPr>
            <w:tcW w:w="5180" w:type="dxa"/>
            <w:tcBorders>
              <w:top w:val="nil"/>
              <w:left w:val="single" w:sz="4" w:space="0" w:color="auto"/>
              <w:bottom w:val="nil"/>
              <w:right w:val="nil"/>
            </w:tcBorders>
            <w:shd w:val="clear" w:color="000000" w:fill="ECECEC"/>
            <w:noWrap/>
            <w:vAlign w:val="center"/>
            <w:hideMark/>
          </w:tcPr>
          <w:p w:rsidR="00BA16A1" w:rsidRDefault="00BA16A1">
            <w:pPr>
              <w:rPr>
                <w:rFonts w:ascii="Arial" w:hAnsi="Arial" w:cs="Arial"/>
                <w:color w:val="008000"/>
                <w:sz w:val="22"/>
                <w:szCs w:val="22"/>
              </w:rPr>
            </w:pPr>
            <w:r>
              <w:rPr>
                <w:rFonts w:ascii="Arial" w:hAnsi="Arial" w:cs="Arial"/>
                <w:color w:val="008000"/>
                <w:sz w:val="22"/>
                <w:szCs w:val="22"/>
              </w:rPr>
              <w:t>Kennzahl zur Stabilität</w:t>
            </w:r>
          </w:p>
        </w:tc>
        <w:tc>
          <w:tcPr>
            <w:tcW w:w="208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72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340" w:type="dxa"/>
            <w:tcBorders>
              <w:top w:val="nil"/>
              <w:left w:val="nil"/>
              <w:bottom w:val="nil"/>
              <w:right w:val="single" w:sz="4" w:space="0" w:color="auto"/>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r>
      <w:tr w:rsidR="00BA16A1" w:rsidTr="00BA16A1">
        <w:trPr>
          <w:trHeight w:val="255"/>
        </w:trPr>
        <w:tc>
          <w:tcPr>
            <w:tcW w:w="518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Kernkapitalquotient  CET 1</w:t>
            </w:r>
          </w:p>
        </w:tc>
        <w:tc>
          <w:tcPr>
            <w:tcW w:w="2080" w:type="dxa"/>
            <w:tcBorders>
              <w:top w:val="dotted"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16,12%</w:t>
            </w:r>
          </w:p>
        </w:tc>
        <w:tc>
          <w:tcPr>
            <w:tcW w:w="1720" w:type="dxa"/>
            <w:tcBorders>
              <w:top w:val="dotted" w:sz="4" w:space="0" w:color="auto"/>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13,88%</w:t>
            </w:r>
          </w:p>
        </w:tc>
        <w:tc>
          <w:tcPr>
            <w:tcW w:w="1340" w:type="dxa"/>
            <w:tcBorders>
              <w:top w:val="dotted" w:sz="4" w:space="0" w:color="auto"/>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16,15%</w:t>
            </w:r>
          </w:p>
        </w:tc>
      </w:tr>
      <w:tr w:rsidR="00BA16A1" w:rsidTr="00BA16A1">
        <w:trPr>
          <w:trHeight w:val="285"/>
        </w:trPr>
        <w:tc>
          <w:tcPr>
            <w:tcW w:w="5180" w:type="dxa"/>
            <w:tcBorders>
              <w:top w:val="nil"/>
              <w:left w:val="single" w:sz="4" w:space="0" w:color="auto"/>
              <w:bottom w:val="nil"/>
              <w:right w:val="nil"/>
            </w:tcBorders>
            <w:shd w:val="clear" w:color="000000" w:fill="ECECEC"/>
            <w:noWrap/>
            <w:vAlign w:val="center"/>
            <w:hideMark/>
          </w:tcPr>
          <w:p w:rsidR="00BA16A1" w:rsidRDefault="00BA16A1">
            <w:pPr>
              <w:rPr>
                <w:rFonts w:ascii="Arial" w:hAnsi="Arial" w:cs="Arial"/>
                <w:color w:val="008000"/>
                <w:sz w:val="22"/>
                <w:szCs w:val="22"/>
              </w:rPr>
            </w:pPr>
            <w:r>
              <w:rPr>
                <w:rFonts w:ascii="Arial" w:hAnsi="Arial" w:cs="Arial"/>
                <w:color w:val="008000"/>
                <w:sz w:val="22"/>
                <w:szCs w:val="22"/>
              </w:rPr>
              <w:t>Kennzahl zur Effizienz</w:t>
            </w:r>
          </w:p>
        </w:tc>
        <w:tc>
          <w:tcPr>
            <w:tcW w:w="208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72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340" w:type="dxa"/>
            <w:tcBorders>
              <w:top w:val="nil"/>
              <w:left w:val="nil"/>
              <w:bottom w:val="nil"/>
              <w:right w:val="single" w:sz="4" w:space="0" w:color="auto"/>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r>
      <w:tr w:rsidR="00BA16A1" w:rsidTr="00BA16A1">
        <w:trPr>
          <w:trHeight w:val="255"/>
        </w:trPr>
        <w:tc>
          <w:tcPr>
            <w:tcW w:w="518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color w:val="000000"/>
                <w:sz w:val="20"/>
                <w:szCs w:val="20"/>
              </w:rPr>
            </w:pPr>
            <w:proofErr w:type="spellStart"/>
            <w:r>
              <w:rPr>
                <w:rFonts w:ascii="Arial" w:hAnsi="Arial" w:cs="Arial"/>
                <w:color w:val="000000"/>
                <w:sz w:val="20"/>
                <w:szCs w:val="20"/>
              </w:rPr>
              <w:t>Cost</w:t>
            </w:r>
            <w:proofErr w:type="spellEnd"/>
            <w:r>
              <w:rPr>
                <w:rFonts w:ascii="Arial" w:hAnsi="Arial" w:cs="Arial"/>
                <w:color w:val="000000"/>
                <w:sz w:val="20"/>
                <w:szCs w:val="20"/>
              </w:rPr>
              <w:t xml:space="preserve"> Income Ratio</w:t>
            </w:r>
          </w:p>
        </w:tc>
        <w:tc>
          <w:tcPr>
            <w:tcW w:w="2080" w:type="dxa"/>
            <w:tcBorders>
              <w:top w:val="dotted"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42,91%</w:t>
            </w:r>
          </w:p>
        </w:tc>
        <w:tc>
          <w:tcPr>
            <w:tcW w:w="1720" w:type="dxa"/>
            <w:tcBorders>
              <w:top w:val="dotted" w:sz="4" w:space="0" w:color="auto"/>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47,20%</w:t>
            </w:r>
          </w:p>
        </w:tc>
        <w:tc>
          <w:tcPr>
            <w:tcW w:w="1340" w:type="dxa"/>
            <w:tcBorders>
              <w:top w:val="dotted" w:sz="4" w:space="0" w:color="auto"/>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-9,10%</w:t>
            </w:r>
          </w:p>
        </w:tc>
      </w:tr>
      <w:tr w:rsidR="00BA16A1" w:rsidTr="00BA16A1">
        <w:trPr>
          <w:trHeight w:val="285"/>
        </w:trPr>
        <w:tc>
          <w:tcPr>
            <w:tcW w:w="5180" w:type="dxa"/>
            <w:tcBorders>
              <w:top w:val="nil"/>
              <w:left w:val="single" w:sz="4" w:space="0" w:color="auto"/>
              <w:bottom w:val="nil"/>
              <w:right w:val="nil"/>
            </w:tcBorders>
            <w:shd w:val="clear" w:color="000000" w:fill="ECECEC"/>
            <w:noWrap/>
            <w:vAlign w:val="center"/>
            <w:hideMark/>
          </w:tcPr>
          <w:p w:rsidR="00BA16A1" w:rsidRDefault="00BA16A1">
            <w:pPr>
              <w:rPr>
                <w:rFonts w:ascii="Arial" w:hAnsi="Arial" w:cs="Arial"/>
                <w:color w:val="008000"/>
                <w:sz w:val="22"/>
                <w:szCs w:val="22"/>
              </w:rPr>
            </w:pPr>
            <w:r>
              <w:rPr>
                <w:rFonts w:ascii="Arial" w:hAnsi="Arial" w:cs="Arial"/>
                <w:color w:val="008000"/>
                <w:sz w:val="22"/>
                <w:szCs w:val="22"/>
              </w:rPr>
              <w:t>Kennzahlen zum Risiko</w:t>
            </w:r>
          </w:p>
        </w:tc>
        <w:tc>
          <w:tcPr>
            <w:tcW w:w="208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72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340" w:type="dxa"/>
            <w:tcBorders>
              <w:top w:val="nil"/>
              <w:left w:val="nil"/>
              <w:bottom w:val="nil"/>
              <w:right w:val="single" w:sz="4" w:space="0" w:color="auto"/>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vAlign w:val="center"/>
            <w:hideMark/>
          </w:tcPr>
          <w:p w:rsidR="00BA16A1" w:rsidRDefault="00BA16A1">
            <w:pPr>
              <w:rPr>
                <w:rFonts w:ascii="Arial" w:hAnsi="Arial" w:cs="Arial"/>
                <w:color w:val="000000"/>
                <w:sz w:val="20"/>
                <w:szCs w:val="20"/>
              </w:rPr>
            </w:pPr>
            <w:r>
              <w:rPr>
                <w:rFonts w:ascii="Arial" w:hAnsi="Arial" w:cs="Arial"/>
                <w:color w:val="000000"/>
                <w:sz w:val="20"/>
                <w:szCs w:val="20"/>
              </w:rPr>
              <w:t>NPL-Rate*</w:t>
            </w:r>
          </w:p>
        </w:tc>
        <w:tc>
          <w:tcPr>
            <w:tcW w:w="2080" w:type="dxa"/>
            <w:tcBorders>
              <w:top w:val="nil"/>
              <w:left w:val="nil"/>
              <w:bottom w:val="dotted" w:sz="4" w:space="0" w:color="auto"/>
              <w:right w:val="dotted" w:sz="4" w:space="0" w:color="auto"/>
            </w:tcBorders>
            <w:shd w:val="clear" w:color="000000" w:fill="D8E4BC"/>
            <w:noWrap/>
            <w:vAlign w:val="center"/>
            <w:hideMark/>
          </w:tcPr>
          <w:p w:rsidR="00BA16A1" w:rsidRDefault="00BA16A1">
            <w:pPr>
              <w:jc w:val="right"/>
              <w:rPr>
                <w:rFonts w:ascii="Arial" w:hAnsi="Arial" w:cs="Arial"/>
                <w:sz w:val="20"/>
                <w:szCs w:val="20"/>
              </w:rPr>
            </w:pPr>
            <w:r>
              <w:rPr>
                <w:rFonts w:ascii="Arial" w:hAnsi="Arial" w:cs="Arial"/>
                <w:sz w:val="20"/>
                <w:szCs w:val="20"/>
              </w:rPr>
              <w:t>3,17%</w:t>
            </w:r>
          </w:p>
        </w:tc>
        <w:tc>
          <w:tcPr>
            <w:tcW w:w="1720" w:type="dxa"/>
            <w:tcBorders>
              <w:top w:val="nil"/>
              <w:left w:val="nil"/>
              <w:bottom w:val="dotted" w:sz="4" w:space="0" w:color="auto"/>
              <w:right w:val="dotted" w:sz="4" w:space="0" w:color="auto"/>
            </w:tcBorders>
            <w:shd w:val="clear" w:color="auto" w:fill="auto"/>
            <w:noWrap/>
            <w:vAlign w:val="center"/>
            <w:hideMark/>
          </w:tcPr>
          <w:p w:rsidR="00BA16A1" w:rsidRDefault="00BA16A1">
            <w:pPr>
              <w:jc w:val="right"/>
              <w:rPr>
                <w:rFonts w:ascii="Arial" w:hAnsi="Arial" w:cs="Arial"/>
                <w:color w:val="000000"/>
                <w:sz w:val="20"/>
                <w:szCs w:val="20"/>
              </w:rPr>
            </w:pPr>
            <w:r>
              <w:rPr>
                <w:rFonts w:ascii="Arial" w:hAnsi="Arial" w:cs="Arial"/>
                <w:color w:val="000000"/>
                <w:sz w:val="20"/>
                <w:szCs w:val="20"/>
              </w:rPr>
              <w:t>4,49%</w:t>
            </w:r>
          </w:p>
        </w:tc>
        <w:tc>
          <w:tcPr>
            <w:tcW w:w="1340" w:type="dxa"/>
            <w:tcBorders>
              <w:top w:val="nil"/>
              <w:left w:val="nil"/>
              <w:bottom w:val="dotted" w:sz="4" w:space="0" w:color="auto"/>
              <w:right w:val="single" w:sz="4" w:space="0" w:color="auto"/>
            </w:tcBorders>
            <w:shd w:val="clear" w:color="000000" w:fill="FFFFFF"/>
            <w:noWrap/>
            <w:vAlign w:val="center"/>
            <w:hideMark/>
          </w:tcPr>
          <w:p w:rsidR="00BA16A1" w:rsidRDefault="00BA16A1">
            <w:pPr>
              <w:jc w:val="right"/>
              <w:rPr>
                <w:rFonts w:ascii="Arial" w:hAnsi="Arial" w:cs="Arial"/>
                <w:color w:val="000000"/>
                <w:sz w:val="20"/>
                <w:szCs w:val="20"/>
              </w:rPr>
            </w:pPr>
            <w:r>
              <w:rPr>
                <w:rFonts w:ascii="Arial" w:hAnsi="Arial" w:cs="Arial"/>
                <w:color w:val="000000"/>
                <w:sz w:val="20"/>
                <w:szCs w:val="20"/>
              </w:rPr>
              <w:t>-29,29%</w:t>
            </w:r>
          </w:p>
        </w:tc>
      </w:tr>
      <w:tr w:rsidR="00BA16A1" w:rsidTr="00BA16A1">
        <w:trPr>
          <w:trHeight w:val="255"/>
        </w:trPr>
        <w:tc>
          <w:tcPr>
            <w:tcW w:w="5180" w:type="dxa"/>
            <w:tcBorders>
              <w:top w:val="nil"/>
              <w:left w:val="single" w:sz="4" w:space="0" w:color="auto"/>
              <w:bottom w:val="nil"/>
              <w:right w:val="nil"/>
            </w:tcBorders>
            <w:shd w:val="clear" w:color="auto" w:fill="auto"/>
            <w:vAlign w:val="center"/>
            <w:hideMark/>
          </w:tcPr>
          <w:p w:rsidR="00BA16A1" w:rsidRDefault="00BA16A1">
            <w:pPr>
              <w:rPr>
                <w:rFonts w:ascii="Arial" w:hAnsi="Arial" w:cs="Arial"/>
                <w:color w:val="000000"/>
                <w:sz w:val="20"/>
                <w:szCs w:val="20"/>
              </w:rPr>
            </w:pPr>
            <w:r>
              <w:rPr>
                <w:rFonts w:ascii="Arial" w:hAnsi="Arial" w:cs="Arial"/>
                <w:color w:val="000000"/>
                <w:sz w:val="20"/>
                <w:szCs w:val="20"/>
              </w:rPr>
              <w:t>Deckungsgrad der notleidenden Risikopositionen</w:t>
            </w:r>
          </w:p>
        </w:tc>
        <w:tc>
          <w:tcPr>
            <w:tcW w:w="2080" w:type="dxa"/>
            <w:tcBorders>
              <w:top w:val="nil"/>
              <w:left w:val="nil"/>
              <w:bottom w:val="dotted" w:sz="4" w:space="0" w:color="auto"/>
              <w:right w:val="dotted" w:sz="4" w:space="0" w:color="auto"/>
            </w:tcBorders>
            <w:shd w:val="clear" w:color="000000" w:fill="D8E4BC"/>
            <w:noWrap/>
            <w:vAlign w:val="center"/>
            <w:hideMark/>
          </w:tcPr>
          <w:p w:rsidR="00BA16A1" w:rsidRDefault="00BA16A1">
            <w:pPr>
              <w:jc w:val="right"/>
              <w:rPr>
                <w:rFonts w:ascii="Arial" w:hAnsi="Arial" w:cs="Arial"/>
                <w:sz w:val="20"/>
                <w:szCs w:val="20"/>
              </w:rPr>
            </w:pPr>
            <w:r>
              <w:rPr>
                <w:rFonts w:ascii="Arial" w:hAnsi="Arial" w:cs="Arial"/>
                <w:sz w:val="20"/>
                <w:szCs w:val="20"/>
              </w:rPr>
              <w:t>57,75%</w:t>
            </w:r>
          </w:p>
        </w:tc>
        <w:tc>
          <w:tcPr>
            <w:tcW w:w="1720" w:type="dxa"/>
            <w:tcBorders>
              <w:top w:val="nil"/>
              <w:left w:val="nil"/>
              <w:bottom w:val="dotted" w:sz="4" w:space="0" w:color="auto"/>
              <w:right w:val="dotted" w:sz="4" w:space="0" w:color="auto"/>
            </w:tcBorders>
            <w:shd w:val="clear" w:color="auto" w:fill="auto"/>
            <w:noWrap/>
            <w:vAlign w:val="center"/>
            <w:hideMark/>
          </w:tcPr>
          <w:p w:rsidR="00BA16A1" w:rsidRDefault="00BA16A1">
            <w:pPr>
              <w:jc w:val="right"/>
              <w:rPr>
                <w:rFonts w:ascii="Arial" w:hAnsi="Arial" w:cs="Arial"/>
                <w:color w:val="000000"/>
                <w:sz w:val="20"/>
                <w:szCs w:val="20"/>
              </w:rPr>
            </w:pPr>
            <w:r>
              <w:rPr>
                <w:rFonts w:ascii="Arial" w:hAnsi="Arial" w:cs="Arial"/>
                <w:color w:val="000000"/>
                <w:sz w:val="20"/>
                <w:szCs w:val="20"/>
              </w:rPr>
              <w:t>48,09%</w:t>
            </w:r>
          </w:p>
        </w:tc>
        <w:tc>
          <w:tcPr>
            <w:tcW w:w="1340" w:type="dxa"/>
            <w:tcBorders>
              <w:top w:val="nil"/>
              <w:left w:val="nil"/>
              <w:bottom w:val="dotted" w:sz="4" w:space="0" w:color="auto"/>
              <w:right w:val="single" w:sz="4" w:space="0" w:color="auto"/>
            </w:tcBorders>
            <w:shd w:val="clear" w:color="000000" w:fill="FFFFFF"/>
            <w:noWrap/>
            <w:vAlign w:val="center"/>
            <w:hideMark/>
          </w:tcPr>
          <w:p w:rsidR="00BA16A1" w:rsidRDefault="00BA16A1">
            <w:pPr>
              <w:jc w:val="right"/>
              <w:rPr>
                <w:rFonts w:ascii="Arial" w:hAnsi="Arial" w:cs="Arial"/>
                <w:color w:val="000000"/>
                <w:sz w:val="20"/>
                <w:szCs w:val="20"/>
              </w:rPr>
            </w:pPr>
            <w:r>
              <w:rPr>
                <w:rFonts w:ascii="Arial" w:hAnsi="Arial" w:cs="Arial"/>
                <w:color w:val="000000"/>
                <w:sz w:val="20"/>
                <w:szCs w:val="20"/>
              </w:rPr>
              <w:t>20,09%</w:t>
            </w:r>
          </w:p>
        </w:tc>
      </w:tr>
      <w:tr w:rsidR="00BA16A1" w:rsidTr="00BA16A1">
        <w:trPr>
          <w:trHeight w:val="285"/>
        </w:trPr>
        <w:tc>
          <w:tcPr>
            <w:tcW w:w="7260" w:type="dxa"/>
            <w:gridSpan w:val="2"/>
            <w:tcBorders>
              <w:top w:val="nil"/>
              <w:left w:val="single" w:sz="4" w:space="0" w:color="auto"/>
              <w:bottom w:val="nil"/>
              <w:right w:val="nil"/>
            </w:tcBorders>
            <w:shd w:val="clear" w:color="000000" w:fill="ECECEC"/>
            <w:noWrap/>
            <w:vAlign w:val="center"/>
            <w:hideMark/>
          </w:tcPr>
          <w:p w:rsidR="00BA16A1" w:rsidRDefault="00BA16A1">
            <w:pPr>
              <w:rPr>
                <w:rFonts w:ascii="Arial" w:hAnsi="Arial" w:cs="Arial"/>
                <w:color w:val="008000"/>
                <w:sz w:val="22"/>
                <w:szCs w:val="22"/>
              </w:rPr>
            </w:pPr>
            <w:r>
              <w:rPr>
                <w:rFonts w:ascii="Arial" w:hAnsi="Arial" w:cs="Arial"/>
                <w:color w:val="008000"/>
                <w:sz w:val="22"/>
                <w:szCs w:val="22"/>
              </w:rPr>
              <w:t>Nachhaltigkeit - ESG (E=Environment, S=</w:t>
            </w:r>
            <w:proofErr w:type="spellStart"/>
            <w:r>
              <w:rPr>
                <w:rFonts w:ascii="Arial" w:hAnsi="Arial" w:cs="Arial"/>
                <w:color w:val="008000"/>
                <w:sz w:val="22"/>
                <w:szCs w:val="22"/>
              </w:rPr>
              <w:t>Social</w:t>
            </w:r>
            <w:proofErr w:type="spellEnd"/>
            <w:r>
              <w:rPr>
                <w:rFonts w:ascii="Arial" w:hAnsi="Arial" w:cs="Arial"/>
                <w:color w:val="008000"/>
                <w:sz w:val="22"/>
                <w:szCs w:val="22"/>
              </w:rPr>
              <w:t xml:space="preserve">, G= </w:t>
            </w:r>
            <w:proofErr w:type="spellStart"/>
            <w:r>
              <w:rPr>
                <w:rFonts w:ascii="Arial" w:hAnsi="Arial" w:cs="Arial"/>
                <w:color w:val="008000"/>
                <w:sz w:val="22"/>
                <w:szCs w:val="22"/>
              </w:rPr>
              <w:t>Governance</w:t>
            </w:r>
            <w:proofErr w:type="spellEnd"/>
            <w:r>
              <w:rPr>
                <w:rFonts w:ascii="Arial" w:hAnsi="Arial" w:cs="Arial"/>
                <w:color w:val="008000"/>
                <w:sz w:val="22"/>
                <w:szCs w:val="22"/>
              </w:rPr>
              <w:t>)</w:t>
            </w:r>
          </w:p>
        </w:tc>
        <w:tc>
          <w:tcPr>
            <w:tcW w:w="1720" w:type="dxa"/>
            <w:tcBorders>
              <w:top w:val="nil"/>
              <w:left w:val="nil"/>
              <w:bottom w:val="nil"/>
              <w:right w:val="nil"/>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c>
          <w:tcPr>
            <w:tcW w:w="1340" w:type="dxa"/>
            <w:tcBorders>
              <w:top w:val="nil"/>
              <w:left w:val="nil"/>
              <w:bottom w:val="nil"/>
              <w:right w:val="single" w:sz="4" w:space="0" w:color="auto"/>
            </w:tcBorders>
            <w:shd w:val="clear" w:color="000000" w:fill="ECECEC"/>
            <w:noWrap/>
            <w:vAlign w:val="center"/>
            <w:hideMark/>
          </w:tcPr>
          <w:p w:rsidR="00BA16A1" w:rsidRDefault="00BA16A1">
            <w:pPr>
              <w:rPr>
                <w:rFonts w:ascii="Arial" w:hAnsi="Arial" w:cs="Arial"/>
                <w:b/>
                <w:bCs/>
                <w:i/>
                <w:iCs/>
                <w:color w:val="008000"/>
                <w:sz w:val="22"/>
                <w:szCs w:val="22"/>
              </w:rPr>
            </w:pPr>
            <w:r>
              <w:rPr>
                <w:rFonts w:ascii="Arial" w:hAnsi="Arial" w:cs="Arial"/>
                <w:b/>
                <w:bCs/>
                <w:i/>
                <w:iCs/>
                <w:color w:val="008000"/>
                <w:sz w:val="22"/>
                <w:szCs w:val="22"/>
              </w:rPr>
              <w:t> </w:t>
            </w:r>
          </w:p>
        </w:tc>
      </w:tr>
      <w:tr w:rsidR="00BA16A1" w:rsidTr="00BA16A1">
        <w:trPr>
          <w:trHeight w:val="255"/>
        </w:trPr>
        <w:tc>
          <w:tcPr>
            <w:tcW w:w="518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BA16A1" w:rsidRDefault="00BA16A1" w:rsidP="000823F3">
            <w:pPr>
              <w:rPr>
                <w:rFonts w:ascii="Arial" w:hAnsi="Arial" w:cs="Arial"/>
                <w:sz w:val="20"/>
                <w:szCs w:val="20"/>
              </w:rPr>
            </w:pPr>
            <w:r>
              <w:rPr>
                <w:rFonts w:ascii="Arial" w:hAnsi="Arial" w:cs="Arial"/>
                <w:sz w:val="20"/>
                <w:szCs w:val="20"/>
              </w:rPr>
              <w:t>Ca</w:t>
            </w:r>
            <w:r w:rsidR="000823F3">
              <w:rPr>
                <w:rFonts w:ascii="Arial" w:hAnsi="Arial" w:cs="Arial"/>
                <w:sz w:val="20"/>
                <w:szCs w:val="20"/>
              </w:rPr>
              <w:t>r</w:t>
            </w:r>
            <w:r>
              <w:rPr>
                <w:rFonts w:ascii="Arial" w:hAnsi="Arial" w:cs="Arial"/>
                <w:sz w:val="20"/>
                <w:szCs w:val="20"/>
              </w:rPr>
              <w:t xml:space="preserve">bon </w:t>
            </w:r>
            <w:proofErr w:type="spellStart"/>
            <w:r>
              <w:rPr>
                <w:rFonts w:ascii="Arial" w:hAnsi="Arial" w:cs="Arial"/>
                <w:sz w:val="20"/>
                <w:szCs w:val="20"/>
              </w:rPr>
              <w:t>footprin</w:t>
            </w:r>
            <w:r w:rsidR="009B06CD">
              <w:rPr>
                <w:rFonts w:ascii="Arial" w:hAnsi="Arial" w:cs="Arial"/>
                <w:sz w:val="20"/>
                <w:szCs w:val="20"/>
              </w:rPr>
              <w:t>t</w:t>
            </w:r>
            <w:proofErr w:type="spellEnd"/>
            <w:r>
              <w:rPr>
                <w:rFonts w:ascii="Arial" w:hAnsi="Arial" w:cs="Arial"/>
                <w:sz w:val="20"/>
                <w:szCs w:val="20"/>
              </w:rPr>
              <w:t xml:space="preserve"> (CO2-Fußabdruck)</w:t>
            </w:r>
          </w:p>
        </w:tc>
        <w:tc>
          <w:tcPr>
            <w:tcW w:w="2080" w:type="dxa"/>
            <w:tcBorders>
              <w:top w:val="dotted" w:sz="4" w:space="0" w:color="auto"/>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111,10</w:t>
            </w:r>
          </w:p>
        </w:tc>
        <w:tc>
          <w:tcPr>
            <w:tcW w:w="1720" w:type="dxa"/>
            <w:tcBorders>
              <w:top w:val="dotted" w:sz="4" w:space="0" w:color="auto"/>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244,56</w:t>
            </w:r>
          </w:p>
        </w:tc>
        <w:tc>
          <w:tcPr>
            <w:tcW w:w="1340" w:type="dxa"/>
            <w:tcBorders>
              <w:top w:val="dotted" w:sz="4" w:space="0" w:color="auto"/>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-54,57%</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Mitarbeiter/innen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201</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197</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2,03%</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Anzahl Frauen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85</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85</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0,00%</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Teilzeitbeschäftigte Mitarbeiter</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41</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42</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-2,38%</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Mitarbeiter mit unbefristeten Verträgen</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196</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186</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5,38%</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Erwirtschafteter Mehrwert</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71.652</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58.235</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23,04%</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Ausgeschütteter Mehrwert</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60.521</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53.673</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12,76%</w:t>
            </w:r>
          </w:p>
        </w:tc>
      </w:tr>
      <w:tr w:rsidR="00BA16A1" w:rsidTr="00BA16A1">
        <w:trPr>
          <w:trHeight w:val="255"/>
        </w:trPr>
        <w:tc>
          <w:tcPr>
            <w:tcW w:w="5180" w:type="dxa"/>
            <w:tcBorders>
              <w:top w:val="nil"/>
              <w:left w:val="single" w:sz="4" w:space="0" w:color="auto"/>
              <w:bottom w:val="dotted" w:sz="4" w:space="0" w:color="auto"/>
              <w:right w:val="dotted" w:sz="4" w:space="0" w:color="auto"/>
            </w:tcBorders>
            <w:shd w:val="clear" w:color="auto" w:fill="auto"/>
            <w:noWrap/>
            <w:vAlign w:val="bottom"/>
            <w:hideMark/>
          </w:tcPr>
          <w:p w:rsidR="00BA16A1" w:rsidRDefault="00BA16A1">
            <w:pPr>
              <w:rPr>
                <w:rFonts w:ascii="Arial" w:hAnsi="Arial" w:cs="Arial"/>
                <w:sz w:val="20"/>
                <w:szCs w:val="20"/>
              </w:rPr>
            </w:pPr>
            <w:r>
              <w:rPr>
                <w:rFonts w:ascii="Arial" w:hAnsi="Arial" w:cs="Arial"/>
                <w:sz w:val="20"/>
                <w:szCs w:val="20"/>
              </w:rPr>
              <w:t>Kredite erneuerbare Energie</w:t>
            </w:r>
          </w:p>
        </w:tc>
        <w:tc>
          <w:tcPr>
            <w:tcW w:w="2080" w:type="dxa"/>
            <w:tcBorders>
              <w:top w:val="nil"/>
              <w:left w:val="nil"/>
              <w:bottom w:val="dotted"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235.465</w:t>
            </w:r>
          </w:p>
        </w:tc>
        <w:tc>
          <w:tcPr>
            <w:tcW w:w="1720" w:type="dxa"/>
            <w:tcBorders>
              <w:top w:val="nil"/>
              <w:left w:val="nil"/>
              <w:bottom w:val="dotted"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238.824</w:t>
            </w:r>
          </w:p>
        </w:tc>
        <w:tc>
          <w:tcPr>
            <w:tcW w:w="1340" w:type="dxa"/>
            <w:tcBorders>
              <w:top w:val="nil"/>
              <w:left w:val="nil"/>
              <w:bottom w:val="dotted"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-1,41%</w:t>
            </w:r>
          </w:p>
        </w:tc>
      </w:tr>
      <w:tr w:rsidR="00BA16A1" w:rsidTr="00BA16A1">
        <w:trPr>
          <w:trHeight w:val="255"/>
        </w:trPr>
        <w:tc>
          <w:tcPr>
            <w:tcW w:w="5180" w:type="dxa"/>
            <w:tcBorders>
              <w:top w:val="nil"/>
              <w:left w:val="single" w:sz="4" w:space="0" w:color="auto"/>
              <w:bottom w:val="single" w:sz="4" w:space="0" w:color="auto"/>
              <w:right w:val="nil"/>
            </w:tcBorders>
            <w:shd w:val="clear" w:color="auto" w:fill="auto"/>
            <w:noWrap/>
            <w:hideMark/>
          </w:tcPr>
          <w:p w:rsidR="00BA16A1" w:rsidRDefault="00BA16A1">
            <w:pPr>
              <w:rPr>
                <w:rFonts w:ascii="Arial" w:hAnsi="Arial" w:cs="Arial"/>
                <w:color w:val="000000"/>
                <w:sz w:val="20"/>
                <w:szCs w:val="20"/>
              </w:rPr>
            </w:pPr>
            <w:r>
              <w:rPr>
                <w:rFonts w:ascii="Arial" w:hAnsi="Arial" w:cs="Arial"/>
                <w:color w:val="000000"/>
                <w:sz w:val="20"/>
                <w:szCs w:val="20"/>
              </w:rPr>
              <w:t xml:space="preserve">Nachhaltige Fonds </w:t>
            </w:r>
            <w:r>
              <w:rPr>
                <w:rFonts w:ascii="Arial" w:hAnsi="Arial" w:cs="Arial"/>
                <w:color w:val="000000"/>
                <w:sz w:val="16"/>
                <w:szCs w:val="16"/>
              </w:rPr>
              <w:t>(mehr als 40 nachhaltige Investmentfonds)</w:t>
            </w:r>
          </w:p>
        </w:tc>
        <w:tc>
          <w:tcPr>
            <w:tcW w:w="2080" w:type="dxa"/>
            <w:tcBorders>
              <w:top w:val="nil"/>
              <w:left w:val="dotted" w:sz="4" w:space="0" w:color="auto"/>
              <w:bottom w:val="single" w:sz="4" w:space="0" w:color="auto"/>
              <w:right w:val="dotted" w:sz="4" w:space="0" w:color="auto"/>
            </w:tcBorders>
            <w:shd w:val="clear" w:color="000000" w:fill="D8E4BC"/>
            <w:noWrap/>
            <w:vAlign w:val="bottom"/>
            <w:hideMark/>
          </w:tcPr>
          <w:p w:rsidR="00BA16A1" w:rsidRDefault="00BA16A1">
            <w:pPr>
              <w:jc w:val="right"/>
              <w:rPr>
                <w:rFonts w:ascii="Arial" w:hAnsi="Arial" w:cs="Arial"/>
                <w:sz w:val="20"/>
                <w:szCs w:val="20"/>
              </w:rPr>
            </w:pPr>
            <w:r>
              <w:rPr>
                <w:rFonts w:ascii="Arial" w:hAnsi="Arial" w:cs="Arial"/>
                <w:sz w:val="20"/>
                <w:szCs w:val="20"/>
              </w:rPr>
              <w:t>76.330</w:t>
            </w:r>
          </w:p>
        </w:tc>
        <w:tc>
          <w:tcPr>
            <w:tcW w:w="1720" w:type="dxa"/>
            <w:tcBorders>
              <w:top w:val="nil"/>
              <w:left w:val="nil"/>
              <w:bottom w:val="single" w:sz="4" w:space="0" w:color="auto"/>
              <w:right w:val="dotted" w:sz="4" w:space="0" w:color="auto"/>
            </w:tcBorders>
            <w:shd w:val="clear" w:color="auto" w:fill="auto"/>
            <w:noWrap/>
            <w:vAlign w:val="bottom"/>
            <w:hideMark/>
          </w:tcPr>
          <w:p w:rsidR="00BA16A1" w:rsidRDefault="00BA16A1">
            <w:pPr>
              <w:jc w:val="right"/>
              <w:rPr>
                <w:rFonts w:ascii="Arial" w:hAnsi="Arial" w:cs="Arial"/>
                <w:sz w:val="20"/>
                <w:szCs w:val="20"/>
              </w:rPr>
            </w:pPr>
            <w:r>
              <w:rPr>
                <w:rFonts w:ascii="Arial" w:hAnsi="Arial" w:cs="Arial"/>
                <w:sz w:val="20"/>
                <w:szCs w:val="20"/>
              </w:rPr>
              <w:t>56.413</w:t>
            </w:r>
          </w:p>
        </w:tc>
        <w:tc>
          <w:tcPr>
            <w:tcW w:w="1340" w:type="dxa"/>
            <w:tcBorders>
              <w:top w:val="nil"/>
              <w:left w:val="nil"/>
              <w:bottom w:val="single" w:sz="4" w:space="0" w:color="auto"/>
              <w:right w:val="single" w:sz="4" w:space="0" w:color="auto"/>
            </w:tcBorders>
            <w:shd w:val="clear" w:color="auto" w:fill="auto"/>
            <w:noWrap/>
            <w:vAlign w:val="bottom"/>
            <w:hideMark/>
          </w:tcPr>
          <w:p w:rsidR="00BA16A1" w:rsidRDefault="00BA16A1">
            <w:pPr>
              <w:jc w:val="right"/>
              <w:rPr>
                <w:rFonts w:ascii="Arial" w:hAnsi="Arial" w:cs="Arial"/>
                <w:color w:val="000000"/>
                <w:sz w:val="20"/>
                <w:szCs w:val="20"/>
              </w:rPr>
            </w:pPr>
            <w:r>
              <w:rPr>
                <w:rFonts w:ascii="Arial" w:hAnsi="Arial" w:cs="Arial"/>
                <w:color w:val="000000"/>
                <w:sz w:val="20"/>
                <w:szCs w:val="20"/>
              </w:rPr>
              <w:t>35,31%</w:t>
            </w:r>
          </w:p>
        </w:tc>
      </w:tr>
      <w:tr w:rsidR="00BA16A1" w:rsidTr="00BA16A1">
        <w:trPr>
          <w:trHeight w:val="255"/>
        </w:trPr>
        <w:tc>
          <w:tcPr>
            <w:tcW w:w="5180" w:type="dxa"/>
            <w:tcBorders>
              <w:top w:val="nil"/>
              <w:left w:val="nil"/>
              <w:bottom w:val="nil"/>
              <w:right w:val="nil"/>
            </w:tcBorders>
            <w:shd w:val="clear" w:color="auto" w:fill="auto"/>
            <w:noWrap/>
            <w:vAlign w:val="bottom"/>
            <w:hideMark/>
          </w:tcPr>
          <w:p w:rsidR="00BA16A1" w:rsidRDefault="00BA16A1">
            <w:pPr>
              <w:rPr>
                <w:rFonts w:ascii="Arial" w:hAnsi="Arial" w:cs="Arial"/>
                <w:sz w:val="20"/>
                <w:szCs w:val="20"/>
              </w:rPr>
            </w:pPr>
          </w:p>
        </w:tc>
        <w:tc>
          <w:tcPr>
            <w:tcW w:w="2080" w:type="dxa"/>
            <w:tcBorders>
              <w:top w:val="nil"/>
              <w:left w:val="nil"/>
              <w:bottom w:val="nil"/>
              <w:right w:val="nil"/>
            </w:tcBorders>
            <w:shd w:val="clear" w:color="auto" w:fill="auto"/>
            <w:noWrap/>
            <w:vAlign w:val="bottom"/>
            <w:hideMark/>
          </w:tcPr>
          <w:p w:rsidR="00BA16A1" w:rsidRDefault="00BA16A1">
            <w:pPr>
              <w:jc w:val="right"/>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rsidR="00BA16A1" w:rsidRDefault="00BA16A1">
            <w:pPr>
              <w:jc w:val="right"/>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BA16A1" w:rsidRDefault="00BA16A1">
            <w:pPr>
              <w:rPr>
                <w:rFonts w:ascii="Arial" w:hAnsi="Arial" w:cs="Arial"/>
                <w:color w:val="000000"/>
                <w:sz w:val="20"/>
                <w:szCs w:val="20"/>
              </w:rPr>
            </w:pPr>
          </w:p>
        </w:tc>
      </w:tr>
      <w:tr w:rsidR="00BA16A1" w:rsidTr="00BA16A1">
        <w:trPr>
          <w:trHeight w:val="255"/>
        </w:trPr>
        <w:tc>
          <w:tcPr>
            <w:tcW w:w="10320" w:type="dxa"/>
            <w:gridSpan w:val="4"/>
            <w:tcBorders>
              <w:top w:val="nil"/>
              <w:left w:val="nil"/>
              <w:bottom w:val="nil"/>
              <w:right w:val="nil"/>
            </w:tcBorders>
            <w:shd w:val="clear" w:color="auto" w:fill="auto"/>
            <w:noWrap/>
            <w:vAlign w:val="bottom"/>
            <w:hideMark/>
          </w:tcPr>
          <w:p w:rsidR="00BA16A1" w:rsidRDefault="00BA16A1">
            <w:pPr>
              <w:rPr>
                <w:rFonts w:ascii="Arial" w:hAnsi="Arial" w:cs="Arial"/>
                <w:i/>
                <w:iCs/>
                <w:sz w:val="16"/>
                <w:szCs w:val="16"/>
              </w:rPr>
            </w:pPr>
            <w:r>
              <w:rPr>
                <w:rFonts w:ascii="Arial" w:hAnsi="Arial" w:cs="Arial"/>
                <w:i/>
                <w:iCs/>
                <w:sz w:val="16"/>
                <w:szCs w:val="16"/>
              </w:rPr>
              <w:t>* Die Non-</w:t>
            </w:r>
            <w:proofErr w:type="spellStart"/>
            <w:r>
              <w:rPr>
                <w:rFonts w:ascii="Arial" w:hAnsi="Arial" w:cs="Arial"/>
                <w:i/>
                <w:iCs/>
                <w:sz w:val="16"/>
                <w:szCs w:val="16"/>
              </w:rPr>
              <w:t>Performing</w:t>
            </w:r>
            <w:proofErr w:type="spellEnd"/>
            <w:r>
              <w:rPr>
                <w:rFonts w:ascii="Arial" w:hAnsi="Arial" w:cs="Arial"/>
                <w:i/>
                <w:iCs/>
                <w:sz w:val="16"/>
                <w:szCs w:val="16"/>
              </w:rPr>
              <w:t>-</w:t>
            </w:r>
            <w:proofErr w:type="spellStart"/>
            <w:r>
              <w:rPr>
                <w:rFonts w:ascii="Arial" w:hAnsi="Arial" w:cs="Arial"/>
                <w:i/>
                <w:iCs/>
                <w:sz w:val="16"/>
                <w:szCs w:val="16"/>
              </w:rPr>
              <w:t>Loan</w:t>
            </w:r>
            <w:proofErr w:type="spellEnd"/>
            <w:r>
              <w:rPr>
                <w:rFonts w:ascii="Arial" w:hAnsi="Arial" w:cs="Arial"/>
                <w:i/>
                <w:iCs/>
                <w:sz w:val="16"/>
                <w:szCs w:val="16"/>
              </w:rPr>
              <w:t>-Rate gibt den Anteil der Problemkredite an den gesamten nicht wertberichtigten Kundenkrediten an.</w:t>
            </w:r>
          </w:p>
        </w:tc>
      </w:tr>
      <w:tr w:rsidR="00BA16A1" w:rsidTr="00BA16A1">
        <w:trPr>
          <w:trHeight w:val="255"/>
        </w:trPr>
        <w:tc>
          <w:tcPr>
            <w:tcW w:w="5180" w:type="dxa"/>
            <w:tcBorders>
              <w:top w:val="nil"/>
              <w:left w:val="nil"/>
              <w:bottom w:val="nil"/>
              <w:right w:val="nil"/>
            </w:tcBorders>
            <w:shd w:val="clear" w:color="auto" w:fill="auto"/>
            <w:noWrap/>
            <w:vAlign w:val="bottom"/>
            <w:hideMark/>
          </w:tcPr>
          <w:p w:rsidR="00BA16A1" w:rsidRDefault="00BA16A1">
            <w:pPr>
              <w:rPr>
                <w:rFonts w:ascii="Arial" w:hAnsi="Arial" w:cs="Arial"/>
                <w:i/>
                <w:iCs/>
                <w:sz w:val="16"/>
                <w:szCs w:val="16"/>
              </w:rPr>
            </w:pPr>
            <w:r>
              <w:rPr>
                <w:rFonts w:ascii="Arial" w:hAnsi="Arial" w:cs="Arial"/>
                <w:i/>
                <w:iCs/>
                <w:sz w:val="16"/>
                <w:szCs w:val="16"/>
              </w:rPr>
              <w:t>** Langfrist-Rating für Bankeinlagen</w:t>
            </w:r>
          </w:p>
        </w:tc>
        <w:tc>
          <w:tcPr>
            <w:tcW w:w="2080" w:type="dxa"/>
            <w:tcBorders>
              <w:top w:val="nil"/>
              <w:left w:val="nil"/>
              <w:bottom w:val="nil"/>
              <w:right w:val="nil"/>
            </w:tcBorders>
            <w:shd w:val="clear" w:color="auto" w:fill="auto"/>
            <w:noWrap/>
            <w:vAlign w:val="bottom"/>
            <w:hideMark/>
          </w:tcPr>
          <w:p w:rsidR="00BA16A1" w:rsidRDefault="00BA16A1">
            <w:pPr>
              <w:jc w:val="right"/>
              <w:rPr>
                <w:rFonts w:ascii="Arial" w:hAnsi="Arial" w:cs="Arial"/>
                <w:color w:val="000000"/>
                <w:sz w:val="20"/>
                <w:szCs w:val="20"/>
              </w:rPr>
            </w:pPr>
          </w:p>
        </w:tc>
        <w:tc>
          <w:tcPr>
            <w:tcW w:w="1720" w:type="dxa"/>
            <w:tcBorders>
              <w:top w:val="nil"/>
              <w:left w:val="nil"/>
              <w:bottom w:val="nil"/>
              <w:right w:val="nil"/>
            </w:tcBorders>
            <w:shd w:val="clear" w:color="auto" w:fill="auto"/>
            <w:noWrap/>
            <w:vAlign w:val="bottom"/>
            <w:hideMark/>
          </w:tcPr>
          <w:p w:rsidR="00BA16A1" w:rsidRDefault="00BA16A1">
            <w:pPr>
              <w:jc w:val="right"/>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rsidR="00BA16A1" w:rsidRDefault="00BA16A1">
            <w:pPr>
              <w:rPr>
                <w:rFonts w:ascii="Arial" w:hAnsi="Arial" w:cs="Arial"/>
                <w:color w:val="000000"/>
                <w:sz w:val="20"/>
                <w:szCs w:val="20"/>
              </w:rPr>
            </w:pPr>
          </w:p>
        </w:tc>
      </w:tr>
    </w:tbl>
    <w:p w:rsidR="00936F0A" w:rsidRDefault="00936F0A" w:rsidP="00936F0A">
      <w:pPr>
        <w:rPr>
          <w:rFonts w:ascii="Arial" w:hAnsi="Arial" w:cs="Arial"/>
          <w:noProof/>
          <w:color w:val="000000"/>
        </w:rPr>
      </w:pPr>
    </w:p>
    <w:p w:rsidR="0034510D" w:rsidRDefault="0034510D" w:rsidP="00936F0A">
      <w:pPr>
        <w:rPr>
          <w:rFonts w:ascii="Arial" w:hAnsi="Arial" w:cs="Arial"/>
          <w:noProof/>
          <w:color w:val="000000"/>
        </w:rPr>
      </w:pPr>
    </w:p>
    <w:p w:rsidR="0034510D" w:rsidRDefault="0034510D" w:rsidP="0034510D">
      <w:pPr>
        <w:autoSpaceDE w:val="0"/>
        <w:autoSpaceDN w:val="0"/>
        <w:adjustRightInd w:val="0"/>
        <w:rPr>
          <w:rFonts w:ascii="Arial" w:hAnsi="Arial" w:cs="Arial"/>
          <w:b/>
          <w:bCs/>
          <w:color w:val="000000"/>
        </w:rPr>
      </w:pPr>
    </w:p>
    <w:p w:rsidR="0034510D" w:rsidRDefault="0034510D" w:rsidP="0034510D">
      <w:pPr>
        <w:autoSpaceDE w:val="0"/>
        <w:autoSpaceDN w:val="0"/>
        <w:adjustRightInd w:val="0"/>
        <w:rPr>
          <w:rFonts w:ascii="Arial" w:hAnsi="Arial" w:cs="Arial"/>
          <w:b/>
          <w:bCs/>
          <w:color w:val="000000"/>
        </w:rPr>
      </w:pPr>
    </w:p>
    <w:p w:rsidR="0034510D" w:rsidRDefault="0034510D">
      <w:pPr>
        <w:rPr>
          <w:rFonts w:ascii="Arial" w:hAnsi="Arial" w:cs="Arial"/>
          <w:b/>
          <w:bCs/>
          <w:color w:val="000000"/>
        </w:rPr>
      </w:pPr>
      <w:r>
        <w:rPr>
          <w:rFonts w:ascii="Arial" w:hAnsi="Arial" w:cs="Arial"/>
          <w:b/>
          <w:bCs/>
          <w:color w:val="000000"/>
        </w:rPr>
        <w:br w:type="page"/>
      </w:r>
    </w:p>
    <w:p w:rsidR="0034510D" w:rsidRDefault="0034510D" w:rsidP="0034510D">
      <w:pPr>
        <w:autoSpaceDE w:val="0"/>
        <w:autoSpaceDN w:val="0"/>
        <w:adjustRightInd w:val="0"/>
        <w:rPr>
          <w:rFonts w:ascii="Arial" w:hAnsi="Arial" w:cs="Arial"/>
          <w:b/>
          <w:bCs/>
          <w:color w:val="000000"/>
        </w:rPr>
      </w:pPr>
      <w:r>
        <w:rPr>
          <w:rFonts w:ascii="Arial" w:hAnsi="Arial" w:cs="Arial"/>
          <w:b/>
          <w:bCs/>
          <w:color w:val="000000"/>
        </w:rPr>
        <w:lastRenderedPageBreak/>
        <w:t>Ausleihungen der RLB in den letzten 10 Jahren</w:t>
      </w:r>
    </w:p>
    <w:p w:rsidR="0034510D" w:rsidRDefault="0034510D" w:rsidP="0034510D">
      <w:pPr>
        <w:autoSpaceDE w:val="0"/>
        <w:autoSpaceDN w:val="0"/>
        <w:adjustRightInd w:val="0"/>
        <w:rPr>
          <w:rFonts w:ascii="Arial" w:hAnsi="Arial" w:cs="Arial"/>
          <w:b/>
          <w:bCs/>
          <w:color w:val="000000"/>
        </w:rPr>
      </w:pPr>
    </w:p>
    <w:p w:rsidR="0034510D" w:rsidRDefault="0034510D" w:rsidP="00936F0A">
      <w:pPr>
        <w:rPr>
          <w:rFonts w:ascii="Arial" w:hAnsi="Arial" w:cs="Arial"/>
          <w:noProof/>
          <w:color w:val="000000"/>
        </w:rPr>
      </w:pPr>
      <w:r w:rsidRPr="0034510D">
        <w:rPr>
          <w:rFonts w:ascii="Arial" w:hAnsi="Arial" w:cs="Arial"/>
          <w:noProof/>
          <w:color w:val="000000"/>
        </w:rPr>
        <w:drawing>
          <wp:inline distT="0" distB="0" distL="0" distR="0" wp14:anchorId="666CD762" wp14:editId="6E4D1580">
            <wp:extent cx="5972810" cy="351028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72810" cy="3510280"/>
                    </a:xfrm>
                    <a:prstGeom prst="rect">
                      <a:avLst/>
                    </a:prstGeom>
                  </pic:spPr>
                </pic:pic>
              </a:graphicData>
            </a:graphic>
          </wp:inline>
        </w:drawing>
      </w:r>
    </w:p>
    <w:p w:rsidR="0034510D" w:rsidRDefault="0034510D" w:rsidP="00936F0A">
      <w:pPr>
        <w:rPr>
          <w:rFonts w:ascii="Arial" w:hAnsi="Arial" w:cs="Arial"/>
          <w:noProof/>
          <w:color w:val="000000"/>
        </w:rPr>
      </w:pPr>
    </w:p>
    <w:p w:rsidR="006A01AE" w:rsidRPr="00D912A0" w:rsidRDefault="00F65A4E" w:rsidP="006A01AE">
      <w:pPr>
        <w:jc w:val="both"/>
        <w:rPr>
          <w:rFonts w:ascii="Arial" w:hAnsi="Arial" w:cs="Arial"/>
        </w:rPr>
      </w:pPr>
      <w:r w:rsidRPr="00D912A0">
        <w:rPr>
          <w:rFonts w:ascii="Arial" w:hAnsi="Arial" w:cs="Arial"/>
        </w:rPr>
        <w:t xml:space="preserve">Bozen am </w:t>
      </w:r>
      <w:r w:rsidR="000045B4">
        <w:rPr>
          <w:rFonts w:ascii="Arial" w:hAnsi="Arial" w:cs="Arial"/>
        </w:rPr>
        <w:t>18</w:t>
      </w:r>
      <w:r w:rsidR="001F70A5">
        <w:rPr>
          <w:rFonts w:ascii="Arial" w:hAnsi="Arial" w:cs="Arial"/>
        </w:rPr>
        <w:t xml:space="preserve">. </w:t>
      </w:r>
      <w:r w:rsidR="000045B4">
        <w:rPr>
          <w:rFonts w:ascii="Arial" w:hAnsi="Arial" w:cs="Arial"/>
        </w:rPr>
        <w:t>Mai</w:t>
      </w:r>
      <w:r w:rsidR="001F70A5">
        <w:rPr>
          <w:rFonts w:ascii="Arial" w:hAnsi="Arial" w:cs="Arial"/>
        </w:rPr>
        <w:t xml:space="preserve"> 20</w:t>
      </w:r>
      <w:r w:rsidR="000A54FF">
        <w:rPr>
          <w:rFonts w:ascii="Arial" w:hAnsi="Arial" w:cs="Arial"/>
        </w:rPr>
        <w:t>20</w:t>
      </w:r>
    </w:p>
    <w:p w:rsidR="006A01AE" w:rsidRPr="00F65A4E" w:rsidRDefault="006A01AE" w:rsidP="006A01AE">
      <w:pPr>
        <w:jc w:val="both"/>
        <w:rPr>
          <w:rFonts w:ascii="Arial" w:hAnsi="Arial" w:cs="Arial"/>
          <w:sz w:val="22"/>
          <w:szCs w:val="22"/>
        </w:rPr>
      </w:pPr>
    </w:p>
    <w:p w:rsidR="004E5B4A" w:rsidRDefault="004E5B4A" w:rsidP="006A01AE">
      <w:pPr>
        <w:jc w:val="both"/>
        <w:rPr>
          <w:rFonts w:ascii="Arial" w:hAnsi="Arial" w:cs="Arial"/>
          <w:bCs/>
          <w:sz w:val="20"/>
          <w:szCs w:val="20"/>
        </w:rPr>
      </w:pPr>
    </w:p>
    <w:p w:rsidR="006A01AE" w:rsidRPr="00C02348" w:rsidRDefault="006A01AE" w:rsidP="006A01AE">
      <w:pPr>
        <w:jc w:val="both"/>
        <w:rPr>
          <w:rFonts w:ascii="Arial" w:hAnsi="Arial" w:cs="Arial"/>
          <w:sz w:val="20"/>
          <w:szCs w:val="20"/>
        </w:rPr>
      </w:pPr>
      <w:r w:rsidRPr="00C02348">
        <w:rPr>
          <w:rFonts w:ascii="Arial" w:hAnsi="Arial" w:cs="Arial"/>
          <w:sz w:val="20"/>
          <w:szCs w:val="20"/>
        </w:rPr>
        <w:t xml:space="preserve">Für weitere Fragen wenden Sie sich bitte an Christa </w:t>
      </w:r>
      <w:proofErr w:type="spellStart"/>
      <w:r w:rsidRPr="00C02348">
        <w:rPr>
          <w:rFonts w:ascii="Arial" w:hAnsi="Arial" w:cs="Arial"/>
          <w:sz w:val="20"/>
          <w:szCs w:val="20"/>
        </w:rPr>
        <w:t>Ratschiller</w:t>
      </w:r>
      <w:proofErr w:type="spellEnd"/>
      <w:r w:rsidRPr="00C02348">
        <w:rPr>
          <w:rFonts w:ascii="Arial" w:hAnsi="Arial" w:cs="Arial"/>
          <w:sz w:val="20"/>
          <w:szCs w:val="20"/>
        </w:rPr>
        <w:tab/>
      </w:r>
      <w:r w:rsidR="00DA6289">
        <w:rPr>
          <w:rFonts w:ascii="Arial" w:hAnsi="Arial" w:cs="Arial"/>
          <w:sz w:val="20"/>
          <w:szCs w:val="20"/>
        </w:rPr>
        <w:t xml:space="preserve"> </w:t>
      </w:r>
      <w:r w:rsidRPr="00C02348">
        <w:rPr>
          <w:rFonts w:ascii="Arial" w:hAnsi="Arial" w:cs="Arial"/>
          <w:sz w:val="20"/>
          <w:szCs w:val="20"/>
        </w:rPr>
        <w:t>Telefon: 0471 946 502</w:t>
      </w:r>
      <w:r w:rsidRPr="00C02348">
        <w:rPr>
          <w:rFonts w:ascii="Arial" w:hAnsi="Arial" w:cs="Arial"/>
          <w:sz w:val="20"/>
          <w:szCs w:val="20"/>
        </w:rPr>
        <w:tab/>
        <w:t>Fax: 0471 946 610</w:t>
      </w:r>
    </w:p>
    <w:p w:rsidR="00C22FFA" w:rsidRPr="0034510D" w:rsidRDefault="006A01AE">
      <w:pPr>
        <w:rPr>
          <w:rFonts w:ascii="Arial" w:hAnsi="Arial" w:cs="Arial"/>
          <w:sz w:val="20"/>
          <w:szCs w:val="20"/>
          <w:lang w:val="it-IT"/>
        </w:rPr>
      </w:pPr>
      <w:r w:rsidRPr="00C02348">
        <w:rPr>
          <w:rFonts w:ascii="Arial" w:hAnsi="Arial" w:cs="Arial"/>
          <w:sz w:val="20"/>
          <w:szCs w:val="20"/>
          <w:lang w:val="it-IT"/>
        </w:rPr>
        <w:t>E-Mail-</w:t>
      </w:r>
      <w:proofErr w:type="spellStart"/>
      <w:r w:rsidRPr="00C02348">
        <w:rPr>
          <w:rFonts w:ascii="Arial" w:hAnsi="Arial" w:cs="Arial"/>
          <w:sz w:val="20"/>
          <w:szCs w:val="20"/>
          <w:lang w:val="it-IT"/>
        </w:rPr>
        <w:t>Adresse</w:t>
      </w:r>
      <w:proofErr w:type="spellEnd"/>
      <w:r w:rsidRPr="00C02348">
        <w:rPr>
          <w:rFonts w:ascii="Arial" w:hAnsi="Arial" w:cs="Arial"/>
          <w:sz w:val="20"/>
          <w:szCs w:val="20"/>
          <w:lang w:val="it-IT"/>
        </w:rPr>
        <w:t xml:space="preserve">: </w:t>
      </w:r>
      <w:hyperlink r:id="rId10" w:history="1">
        <w:r w:rsidRPr="00C02348">
          <w:rPr>
            <w:rFonts w:ascii="Arial" w:hAnsi="Arial" w:cs="Arial"/>
            <w:sz w:val="20"/>
            <w:szCs w:val="20"/>
            <w:lang w:val="it-IT"/>
          </w:rPr>
          <w:t>christa.ratschiller@raiffeisen.it</w:t>
        </w:r>
      </w:hyperlink>
    </w:p>
    <w:sectPr w:rsidR="00C22FFA" w:rsidRPr="0034510D" w:rsidSect="00425CE2">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F7" w:rsidRDefault="00F36CF7">
      <w:r>
        <w:separator/>
      </w:r>
    </w:p>
  </w:endnote>
  <w:endnote w:type="continuationSeparator" w:id="0">
    <w:p w:rsidR="00F36CF7" w:rsidRDefault="00F3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36CF7" w:rsidRDefault="00F36CF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F7" w:rsidRDefault="00F36CF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67B68">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67B68">
      <w:rPr>
        <w:rStyle w:val="Seitenzahl"/>
        <w:noProof/>
      </w:rPr>
      <w:t>5</w:t>
    </w:r>
    <w:r>
      <w:rPr>
        <w:rStyle w:val="Seitenzahl"/>
      </w:rPr>
      <w:fldChar w:fldCharType="end"/>
    </w:r>
  </w:p>
  <w:p w:rsidR="00F36CF7" w:rsidRDefault="00F36CF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F7" w:rsidRDefault="00F36CF7">
      <w:r>
        <w:separator/>
      </w:r>
    </w:p>
  </w:footnote>
  <w:footnote w:type="continuationSeparator" w:id="0">
    <w:p w:rsidR="00F36CF7" w:rsidRDefault="00F36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45B4"/>
    <w:rsid w:val="0000788A"/>
    <w:rsid w:val="0001058F"/>
    <w:rsid w:val="00010C42"/>
    <w:rsid w:val="00011337"/>
    <w:rsid w:val="00012618"/>
    <w:rsid w:val="00031274"/>
    <w:rsid w:val="0003485F"/>
    <w:rsid w:val="00050E1C"/>
    <w:rsid w:val="00066B21"/>
    <w:rsid w:val="000719E0"/>
    <w:rsid w:val="0007558D"/>
    <w:rsid w:val="000812DE"/>
    <w:rsid w:val="000823BE"/>
    <w:rsid w:val="000823F3"/>
    <w:rsid w:val="000827E4"/>
    <w:rsid w:val="000967A6"/>
    <w:rsid w:val="000A4281"/>
    <w:rsid w:val="000A54FF"/>
    <w:rsid w:val="000A7D99"/>
    <w:rsid w:val="000B21A7"/>
    <w:rsid w:val="000B3EF8"/>
    <w:rsid w:val="000B44BF"/>
    <w:rsid w:val="000B6C91"/>
    <w:rsid w:val="000B7788"/>
    <w:rsid w:val="000C10C2"/>
    <w:rsid w:val="000C2EE3"/>
    <w:rsid w:val="000C44DF"/>
    <w:rsid w:val="000C7633"/>
    <w:rsid w:val="000D492C"/>
    <w:rsid w:val="000D68D5"/>
    <w:rsid w:val="000E6FF8"/>
    <w:rsid w:val="000F23AB"/>
    <w:rsid w:val="000F33D1"/>
    <w:rsid w:val="000F3588"/>
    <w:rsid w:val="00103302"/>
    <w:rsid w:val="00105AE1"/>
    <w:rsid w:val="00114C12"/>
    <w:rsid w:val="00114CCE"/>
    <w:rsid w:val="001208EA"/>
    <w:rsid w:val="00121798"/>
    <w:rsid w:val="001217E3"/>
    <w:rsid w:val="001241E1"/>
    <w:rsid w:val="00126A81"/>
    <w:rsid w:val="00127BCB"/>
    <w:rsid w:val="00130924"/>
    <w:rsid w:val="001334EC"/>
    <w:rsid w:val="00135609"/>
    <w:rsid w:val="001369E4"/>
    <w:rsid w:val="00144CF1"/>
    <w:rsid w:val="00145267"/>
    <w:rsid w:val="0015173F"/>
    <w:rsid w:val="00152ED6"/>
    <w:rsid w:val="001602AE"/>
    <w:rsid w:val="00161072"/>
    <w:rsid w:val="00165CB3"/>
    <w:rsid w:val="00175078"/>
    <w:rsid w:val="00181D0A"/>
    <w:rsid w:val="00183C7C"/>
    <w:rsid w:val="001853D5"/>
    <w:rsid w:val="00187C52"/>
    <w:rsid w:val="00187CDC"/>
    <w:rsid w:val="00190A35"/>
    <w:rsid w:val="0019214F"/>
    <w:rsid w:val="0019243D"/>
    <w:rsid w:val="0019412B"/>
    <w:rsid w:val="001B57E6"/>
    <w:rsid w:val="001B6785"/>
    <w:rsid w:val="001C1F38"/>
    <w:rsid w:val="001C4187"/>
    <w:rsid w:val="001D2C9F"/>
    <w:rsid w:val="001D4157"/>
    <w:rsid w:val="001E1DBE"/>
    <w:rsid w:val="001E2F7F"/>
    <w:rsid w:val="001E42E1"/>
    <w:rsid w:val="001F565C"/>
    <w:rsid w:val="001F70A5"/>
    <w:rsid w:val="001F7751"/>
    <w:rsid w:val="00206A9C"/>
    <w:rsid w:val="00214C8D"/>
    <w:rsid w:val="00214FEF"/>
    <w:rsid w:val="002157A6"/>
    <w:rsid w:val="0021671E"/>
    <w:rsid w:val="002402ED"/>
    <w:rsid w:val="00240460"/>
    <w:rsid w:val="002404E0"/>
    <w:rsid w:val="00244787"/>
    <w:rsid w:val="0024624F"/>
    <w:rsid w:val="00247799"/>
    <w:rsid w:val="0025028F"/>
    <w:rsid w:val="00252B9F"/>
    <w:rsid w:val="00255115"/>
    <w:rsid w:val="00263C91"/>
    <w:rsid w:val="00267362"/>
    <w:rsid w:val="00274D6A"/>
    <w:rsid w:val="00275A90"/>
    <w:rsid w:val="00285202"/>
    <w:rsid w:val="00291458"/>
    <w:rsid w:val="002A0127"/>
    <w:rsid w:val="002A3DAF"/>
    <w:rsid w:val="002A64FF"/>
    <w:rsid w:val="002A66AF"/>
    <w:rsid w:val="002B14E4"/>
    <w:rsid w:val="002B5FD7"/>
    <w:rsid w:val="002C0D55"/>
    <w:rsid w:val="002C4E34"/>
    <w:rsid w:val="002D0081"/>
    <w:rsid w:val="002D15DB"/>
    <w:rsid w:val="002D37A0"/>
    <w:rsid w:val="002D3BAC"/>
    <w:rsid w:val="002D53E6"/>
    <w:rsid w:val="002D75F2"/>
    <w:rsid w:val="002E0F41"/>
    <w:rsid w:val="002E7931"/>
    <w:rsid w:val="002F661A"/>
    <w:rsid w:val="0030297D"/>
    <w:rsid w:val="003049FC"/>
    <w:rsid w:val="00311A75"/>
    <w:rsid w:val="0031663F"/>
    <w:rsid w:val="00320C17"/>
    <w:rsid w:val="003277E7"/>
    <w:rsid w:val="00330B4C"/>
    <w:rsid w:val="00335E42"/>
    <w:rsid w:val="0034078F"/>
    <w:rsid w:val="00341605"/>
    <w:rsid w:val="0034510D"/>
    <w:rsid w:val="00347A83"/>
    <w:rsid w:val="003514F5"/>
    <w:rsid w:val="00357F7E"/>
    <w:rsid w:val="00360F9F"/>
    <w:rsid w:val="00374C3F"/>
    <w:rsid w:val="00374C81"/>
    <w:rsid w:val="00382034"/>
    <w:rsid w:val="0038641E"/>
    <w:rsid w:val="003A10D9"/>
    <w:rsid w:val="003A5556"/>
    <w:rsid w:val="003A5BD1"/>
    <w:rsid w:val="003B20FB"/>
    <w:rsid w:val="003B7240"/>
    <w:rsid w:val="003D5E51"/>
    <w:rsid w:val="003D64D0"/>
    <w:rsid w:val="003E3AD3"/>
    <w:rsid w:val="003E737E"/>
    <w:rsid w:val="003F495A"/>
    <w:rsid w:val="003F4BE8"/>
    <w:rsid w:val="003F5E86"/>
    <w:rsid w:val="003F7AA0"/>
    <w:rsid w:val="0040072F"/>
    <w:rsid w:val="0041083C"/>
    <w:rsid w:val="00412157"/>
    <w:rsid w:val="004123BE"/>
    <w:rsid w:val="00412AFD"/>
    <w:rsid w:val="00414D18"/>
    <w:rsid w:val="00415460"/>
    <w:rsid w:val="00424D43"/>
    <w:rsid w:val="00425CE2"/>
    <w:rsid w:val="00426951"/>
    <w:rsid w:val="00426B84"/>
    <w:rsid w:val="004374B6"/>
    <w:rsid w:val="004375B9"/>
    <w:rsid w:val="004424B5"/>
    <w:rsid w:val="00444D5F"/>
    <w:rsid w:val="00445A63"/>
    <w:rsid w:val="00451A6E"/>
    <w:rsid w:val="00454ECE"/>
    <w:rsid w:val="00462C32"/>
    <w:rsid w:val="00465363"/>
    <w:rsid w:val="00470D85"/>
    <w:rsid w:val="0047465A"/>
    <w:rsid w:val="004746E7"/>
    <w:rsid w:val="00474A52"/>
    <w:rsid w:val="0048208F"/>
    <w:rsid w:val="00484A96"/>
    <w:rsid w:val="00485B52"/>
    <w:rsid w:val="004875D2"/>
    <w:rsid w:val="00487CAF"/>
    <w:rsid w:val="00493DE9"/>
    <w:rsid w:val="004A059A"/>
    <w:rsid w:val="004A4C73"/>
    <w:rsid w:val="004A6EB5"/>
    <w:rsid w:val="004A742B"/>
    <w:rsid w:val="004B0770"/>
    <w:rsid w:val="004B17C9"/>
    <w:rsid w:val="004B617B"/>
    <w:rsid w:val="004C018C"/>
    <w:rsid w:val="004C058C"/>
    <w:rsid w:val="004C071B"/>
    <w:rsid w:val="004C299C"/>
    <w:rsid w:val="004C4AF0"/>
    <w:rsid w:val="004C6098"/>
    <w:rsid w:val="004D264B"/>
    <w:rsid w:val="004E07EC"/>
    <w:rsid w:val="004E126D"/>
    <w:rsid w:val="004E2C88"/>
    <w:rsid w:val="004E5B4A"/>
    <w:rsid w:val="004E6C9E"/>
    <w:rsid w:val="004E6F5B"/>
    <w:rsid w:val="004F2BCB"/>
    <w:rsid w:val="004F3992"/>
    <w:rsid w:val="005048F2"/>
    <w:rsid w:val="00506BF3"/>
    <w:rsid w:val="00512041"/>
    <w:rsid w:val="00513E8A"/>
    <w:rsid w:val="00517631"/>
    <w:rsid w:val="00517D67"/>
    <w:rsid w:val="005221E6"/>
    <w:rsid w:val="00527F18"/>
    <w:rsid w:val="0053575F"/>
    <w:rsid w:val="00541A16"/>
    <w:rsid w:val="00541EAF"/>
    <w:rsid w:val="005442B4"/>
    <w:rsid w:val="0055166C"/>
    <w:rsid w:val="005557FE"/>
    <w:rsid w:val="00557715"/>
    <w:rsid w:val="0055789F"/>
    <w:rsid w:val="00557AC7"/>
    <w:rsid w:val="00562DC3"/>
    <w:rsid w:val="005636DA"/>
    <w:rsid w:val="00571F86"/>
    <w:rsid w:val="00573151"/>
    <w:rsid w:val="00584426"/>
    <w:rsid w:val="005864C1"/>
    <w:rsid w:val="00590390"/>
    <w:rsid w:val="00591C73"/>
    <w:rsid w:val="005B1058"/>
    <w:rsid w:val="005B6060"/>
    <w:rsid w:val="005C0832"/>
    <w:rsid w:val="005C3F36"/>
    <w:rsid w:val="005C4D69"/>
    <w:rsid w:val="005D036D"/>
    <w:rsid w:val="005D4951"/>
    <w:rsid w:val="005E33F7"/>
    <w:rsid w:val="005F563D"/>
    <w:rsid w:val="005F62F5"/>
    <w:rsid w:val="005F75A7"/>
    <w:rsid w:val="0060509B"/>
    <w:rsid w:val="00607C53"/>
    <w:rsid w:val="00627C53"/>
    <w:rsid w:val="00643ECA"/>
    <w:rsid w:val="00646F46"/>
    <w:rsid w:val="006524E9"/>
    <w:rsid w:val="00653574"/>
    <w:rsid w:val="006572E9"/>
    <w:rsid w:val="00664436"/>
    <w:rsid w:val="00666852"/>
    <w:rsid w:val="006711D4"/>
    <w:rsid w:val="00672615"/>
    <w:rsid w:val="00672E2A"/>
    <w:rsid w:val="00680E91"/>
    <w:rsid w:val="0068151E"/>
    <w:rsid w:val="00684182"/>
    <w:rsid w:val="00686603"/>
    <w:rsid w:val="00691CF6"/>
    <w:rsid w:val="00692B3C"/>
    <w:rsid w:val="00696453"/>
    <w:rsid w:val="006A01AE"/>
    <w:rsid w:val="006A11F6"/>
    <w:rsid w:val="006A2761"/>
    <w:rsid w:val="006A27F3"/>
    <w:rsid w:val="006B7B28"/>
    <w:rsid w:val="006C5AC6"/>
    <w:rsid w:val="006C7786"/>
    <w:rsid w:val="006D0268"/>
    <w:rsid w:val="006E107E"/>
    <w:rsid w:val="006E63C1"/>
    <w:rsid w:val="006F09BE"/>
    <w:rsid w:val="006F108E"/>
    <w:rsid w:val="00726FF9"/>
    <w:rsid w:val="007274A1"/>
    <w:rsid w:val="00733AEF"/>
    <w:rsid w:val="007343FB"/>
    <w:rsid w:val="00735993"/>
    <w:rsid w:val="00745D6C"/>
    <w:rsid w:val="00750D2F"/>
    <w:rsid w:val="007535FB"/>
    <w:rsid w:val="00756D67"/>
    <w:rsid w:val="007571E2"/>
    <w:rsid w:val="00767808"/>
    <w:rsid w:val="00771644"/>
    <w:rsid w:val="007821A8"/>
    <w:rsid w:val="0078453D"/>
    <w:rsid w:val="007852F8"/>
    <w:rsid w:val="007905B2"/>
    <w:rsid w:val="00794EF8"/>
    <w:rsid w:val="007A07A7"/>
    <w:rsid w:val="007A5C39"/>
    <w:rsid w:val="007A5FE0"/>
    <w:rsid w:val="007A79AC"/>
    <w:rsid w:val="007B6911"/>
    <w:rsid w:val="007C125C"/>
    <w:rsid w:val="007C2CFD"/>
    <w:rsid w:val="007C4DA2"/>
    <w:rsid w:val="007D0F89"/>
    <w:rsid w:val="007D1E87"/>
    <w:rsid w:val="007E10D9"/>
    <w:rsid w:val="007E2241"/>
    <w:rsid w:val="007E575F"/>
    <w:rsid w:val="007F50F7"/>
    <w:rsid w:val="00802C16"/>
    <w:rsid w:val="0080400C"/>
    <w:rsid w:val="00804812"/>
    <w:rsid w:val="00804A50"/>
    <w:rsid w:val="00804D40"/>
    <w:rsid w:val="008069FF"/>
    <w:rsid w:val="00813192"/>
    <w:rsid w:val="0081451B"/>
    <w:rsid w:val="0082076A"/>
    <w:rsid w:val="00820E6A"/>
    <w:rsid w:val="00825BE5"/>
    <w:rsid w:val="0083066D"/>
    <w:rsid w:val="00831199"/>
    <w:rsid w:val="00831428"/>
    <w:rsid w:val="00832FB3"/>
    <w:rsid w:val="00833D1C"/>
    <w:rsid w:val="00835596"/>
    <w:rsid w:val="00844875"/>
    <w:rsid w:val="008451F9"/>
    <w:rsid w:val="00847253"/>
    <w:rsid w:val="00852A6D"/>
    <w:rsid w:val="00854710"/>
    <w:rsid w:val="00856F68"/>
    <w:rsid w:val="00875F0F"/>
    <w:rsid w:val="00880B2D"/>
    <w:rsid w:val="00880BDD"/>
    <w:rsid w:val="00880EFF"/>
    <w:rsid w:val="00882418"/>
    <w:rsid w:val="0088246B"/>
    <w:rsid w:val="008867B2"/>
    <w:rsid w:val="0089259B"/>
    <w:rsid w:val="008947C7"/>
    <w:rsid w:val="008A6777"/>
    <w:rsid w:val="008B04A4"/>
    <w:rsid w:val="008B2E68"/>
    <w:rsid w:val="008B5224"/>
    <w:rsid w:val="008C2B10"/>
    <w:rsid w:val="008C3904"/>
    <w:rsid w:val="008C5CED"/>
    <w:rsid w:val="008D1B92"/>
    <w:rsid w:val="008D2C6F"/>
    <w:rsid w:val="008E324A"/>
    <w:rsid w:val="008E45AB"/>
    <w:rsid w:val="008F02B1"/>
    <w:rsid w:val="008F1A45"/>
    <w:rsid w:val="008F1B67"/>
    <w:rsid w:val="008F632D"/>
    <w:rsid w:val="00900240"/>
    <w:rsid w:val="00904655"/>
    <w:rsid w:val="00910BAC"/>
    <w:rsid w:val="00911971"/>
    <w:rsid w:val="009124EF"/>
    <w:rsid w:val="00912D0F"/>
    <w:rsid w:val="00913745"/>
    <w:rsid w:val="00916FCD"/>
    <w:rsid w:val="00921331"/>
    <w:rsid w:val="0092216F"/>
    <w:rsid w:val="00922485"/>
    <w:rsid w:val="00924B5C"/>
    <w:rsid w:val="00925BF0"/>
    <w:rsid w:val="00927C97"/>
    <w:rsid w:val="00930BE9"/>
    <w:rsid w:val="00931CE7"/>
    <w:rsid w:val="00935347"/>
    <w:rsid w:val="00936F0A"/>
    <w:rsid w:val="0094032D"/>
    <w:rsid w:val="0094305D"/>
    <w:rsid w:val="009431F6"/>
    <w:rsid w:val="00943CE4"/>
    <w:rsid w:val="0094786A"/>
    <w:rsid w:val="009504C0"/>
    <w:rsid w:val="00952201"/>
    <w:rsid w:val="00952A2F"/>
    <w:rsid w:val="00961635"/>
    <w:rsid w:val="009668F3"/>
    <w:rsid w:val="00967668"/>
    <w:rsid w:val="00973724"/>
    <w:rsid w:val="009773D6"/>
    <w:rsid w:val="009840B7"/>
    <w:rsid w:val="00987645"/>
    <w:rsid w:val="009A18C4"/>
    <w:rsid w:val="009A4A69"/>
    <w:rsid w:val="009B06CD"/>
    <w:rsid w:val="009B2049"/>
    <w:rsid w:val="009B46EC"/>
    <w:rsid w:val="009B4FD1"/>
    <w:rsid w:val="009C3C60"/>
    <w:rsid w:val="009C4194"/>
    <w:rsid w:val="009D4DA8"/>
    <w:rsid w:val="009D7777"/>
    <w:rsid w:val="009E1BE6"/>
    <w:rsid w:val="009E3291"/>
    <w:rsid w:val="009E5246"/>
    <w:rsid w:val="009F3E21"/>
    <w:rsid w:val="009F555B"/>
    <w:rsid w:val="00A03B29"/>
    <w:rsid w:val="00A10AB7"/>
    <w:rsid w:val="00A161DC"/>
    <w:rsid w:val="00A163A3"/>
    <w:rsid w:val="00A20EFB"/>
    <w:rsid w:val="00A21142"/>
    <w:rsid w:val="00A228D5"/>
    <w:rsid w:val="00A244C7"/>
    <w:rsid w:val="00A274EF"/>
    <w:rsid w:val="00A350AF"/>
    <w:rsid w:val="00A372AF"/>
    <w:rsid w:val="00A4221B"/>
    <w:rsid w:val="00A438EF"/>
    <w:rsid w:val="00A51E3C"/>
    <w:rsid w:val="00A51E8B"/>
    <w:rsid w:val="00A54C59"/>
    <w:rsid w:val="00A5521B"/>
    <w:rsid w:val="00A60707"/>
    <w:rsid w:val="00A65CED"/>
    <w:rsid w:val="00A70784"/>
    <w:rsid w:val="00A845AC"/>
    <w:rsid w:val="00A87254"/>
    <w:rsid w:val="00A92B4E"/>
    <w:rsid w:val="00A94C2F"/>
    <w:rsid w:val="00AA0ED1"/>
    <w:rsid w:val="00AA2B37"/>
    <w:rsid w:val="00AB0AF0"/>
    <w:rsid w:val="00AB2EA8"/>
    <w:rsid w:val="00AB3898"/>
    <w:rsid w:val="00AC04A7"/>
    <w:rsid w:val="00AC0ACB"/>
    <w:rsid w:val="00AC2C48"/>
    <w:rsid w:val="00AC3856"/>
    <w:rsid w:val="00AC608D"/>
    <w:rsid w:val="00AD0566"/>
    <w:rsid w:val="00AD1572"/>
    <w:rsid w:val="00AD1D69"/>
    <w:rsid w:val="00AD3F29"/>
    <w:rsid w:val="00AD50FC"/>
    <w:rsid w:val="00AE16F3"/>
    <w:rsid w:val="00AE3164"/>
    <w:rsid w:val="00AE3D3C"/>
    <w:rsid w:val="00AE6180"/>
    <w:rsid w:val="00AF367B"/>
    <w:rsid w:val="00B01C34"/>
    <w:rsid w:val="00B102AD"/>
    <w:rsid w:val="00B1210B"/>
    <w:rsid w:val="00B21AF4"/>
    <w:rsid w:val="00B2437C"/>
    <w:rsid w:val="00B250D6"/>
    <w:rsid w:val="00B258C3"/>
    <w:rsid w:val="00B279DA"/>
    <w:rsid w:val="00B353DB"/>
    <w:rsid w:val="00B360F8"/>
    <w:rsid w:val="00B43A25"/>
    <w:rsid w:val="00B43FA1"/>
    <w:rsid w:val="00B54B1C"/>
    <w:rsid w:val="00B6191C"/>
    <w:rsid w:val="00B6347F"/>
    <w:rsid w:val="00B641AB"/>
    <w:rsid w:val="00B67791"/>
    <w:rsid w:val="00B67B68"/>
    <w:rsid w:val="00B70D54"/>
    <w:rsid w:val="00B721A0"/>
    <w:rsid w:val="00B730AB"/>
    <w:rsid w:val="00B77003"/>
    <w:rsid w:val="00B80840"/>
    <w:rsid w:val="00B82EC8"/>
    <w:rsid w:val="00B86F45"/>
    <w:rsid w:val="00B919BC"/>
    <w:rsid w:val="00BA027E"/>
    <w:rsid w:val="00BA094D"/>
    <w:rsid w:val="00BA0A29"/>
    <w:rsid w:val="00BA16A1"/>
    <w:rsid w:val="00BA3E21"/>
    <w:rsid w:val="00BA650F"/>
    <w:rsid w:val="00BA6A8F"/>
    <w:rsid w:val="00BC1AC5"/>
    <w:rsid w:val="00BC44C7"/>
    <w:rsid w:val="00BD6207"/>
    <w:rsid w:val="00BE02BB"/>
    <w:rsid w:val="00BE3FCC"/>
    <w:rsid w:val="00BE4612"/>
    <w:rsid w:val="00BF0CB2"/>
    <w:rsid w:val="00BF41FB"/>
    <w:rsid w:val="00C02348"/>
    <w:rsid w:val="00C12699"/>
    <w:rsid w:val="00C13DE7"/>
    <w:rsid w:val="00C22FFA"/>
    <w:rsid w:val="00C2536C"/>
    <w:rsid w:val="00C26C1A"/>
    <w:rsid w:val="00C32066"/>
    <w:rsid w:val="00C320D5"/>
    <w:rsid w:val="00C357F9"/>
    <w:rsid w:val="00C40090"/>
    <w:rsid w:val="00C404B0"/>
    <w:rsid w:val="00C440FA"/>
    <w:rsid w:val="00C458EF"/>
    <w:rsid w:val="00C5321A"/>
    <w:rsid w:val="00C54C2B"/>
    <w:rsid w:val="00C55988"/>
    <w:rsid w:val="00C707B8"/>
    <w:rsid w:val="00C75ECA"/>
    <w:rsid w:val="00C7782E"/>
    <w:rsid w:val="00C879BF"/>
    <w:rsid w:val="00C948E8"/>
    <w:rsid w:val="00C968A9"/>
    <w:rsid w:val="00C979F0"/>
    <w:rsid w:val="00CA7D9D"/>
    <w:rsid w:val="00CB0A56"/>
    <w:rsid w:val="00CB4111"/>
    <w:rsid w:val="00CB6AC8"/>
    <w:rsid w:val="00CC2BAB"/>
    <w:rsid w:val="00CC5650"/>
    <w:rsid w:val="00CC6730"/>
    <w:rsid w:val="00CE101F"/>
    <w:rsid w:val="00CE2E65"/>
    <w:rsid w:val="00CE4077"/>
    <w:rsid w:val="00CF1478"/>
    <w:rsid w:val="00CF3416"/>
    <w:rsid w:val="00CF386B"/>
    <w:rsid w:val="00CF3AC1"/>
    <w:rsid w:val="00D02555"/>
    <w:rsid w:val="00D03A4D"/>
    <w:rsid w:val="00D03EB8"/>
    <w:rsid w:val="00D05F40"/>
    <w:rsid w:val="00D10D44"/>
    <w:rsid w:val="00D13F43"/>
    <w:rsid w:val="00D206C5"/>
    <w:rsid w:val="00D26136"/>
    <w:rsid w:val="00D261BA"/>
    <w:rsid w:val="00D30029"/>
    <w:rsid w:val="00D3130D"/>
    <w:rsid w:val="00D34A04"/>
    <w:rsid w:val="00D371E8"/>
    <w:rsid w:val="00D37288"/>
    <w:rsid w:val="00D40205"/>
    <w:rsid w:val="00D40B5D"/>
    <w:rsid w:val="00D419C5"/>
    <w:rsid w:val="00D452FF"/>
    <w:rsid w:val="00D45697"/>
    <w:rsid w:val="00D45F8D"/>
    <w:rsid w:val="00D5350B"/>
    <w:rsid w:val="00D551E9"/>
    <w:rsid w:val="00D57CAE"/>
    <w:rsid w:val="00D633E0"/>
    <w:rsid w:val="00D63FF3"/>
    <w:rsid w:val="00D72B21"/>
    <w:rsid w:val="00D75E92"/>
    <w:rsid w:val="00D835F2"/>
    <w:rsid w:val="00D90406"/>
    <w:rsid w:val="00D912A0"/>
    <w:rsid w:val="00D9217E"/>
    <w:rsid w:val="00D9621B"/>
    <w:rsid w:val="00DA1084"/>
    <w:rsid w:val="00DA2604"/>
    <w:rsid w:val="00DA6289"/>
    <w:rsid w:val="00DB0C43"/>
    <w:rsid w:val="00DB0C8C"/>
    <w:rsid w:val="00DB11F6"/>
    <w:rsid w:val="00DB3D33"/>
    <w:rsid w:val="00DB76C3"/>
    <w:rsid w:val="00DC0354"/>
    <w:rsid w:val="00DC5C53"/>
    <w:rsid w:val="00DC79D9"/>
    <w:rsid w:val="00DD2107"/>
    <w:rsid w:val="00DD3FEB"/>
    <w:rsid w:val="00DD568D"/>
    <w:rsid w:val="00DD716C"/>
    <w:rsid w:val="00DE7CE2"/>
    <w:rsid w:val="00DF3FBA"/>
    <w:rsid w:val="00E04256"/>
    <w:rsid w:val="00E0485A"/>
    <w:rsid w:val="00E05A47"/>
    <w:rsid w:val="00E10DC3"/>
    <w:rsid w:val="00E1328A"/>
    <w:rsid w:val="00E16606"/>
    <w:rsid w:val="00E16942"/>
    <w:rsid w:val="00E243D6"/>
    <w:rsid w:val="00E30D25"/>
    <w:rsid w:val="00E34663"/>
    <w:rsid w:val="00E41C4B"/>
    <w:rsid w:val="00E445C7"/>
    <w:rsid w:val="00E4498A"/>
    <w:rsid w:val="00E52313"/>
    <w:rsid w:val="00E57DD8"/>
    <w:rsid w:val="00E61CD7"/>
    <w:rsid w:val="00E6586D"/>
    <w:rsid w:val="00E66806"/>
    <w:rsid w:val="00E717BC"/>
    <w:rsid w:val="00E728E2"/>
    <w:rsid w:val="00E75D42"/>
    <w:rsid w:val="00E82D4C"/>
    <w:rsid w:val="00E83D07"/>
    <w:rsid w:val="00E92F89"/>
    <w:rsid w:val="00E942AA"/>
    <w:rsid w:val="00EA21EE"/>
    <w:rsid w:val="00EA7E8E"/>
    <w:rsid w:val="00EB408B"/>
    <w:rsid w:val="00EB796D"/>
    <w:rsid w:val="00EC2D77"/>
    <w:rsid w:val="00EC49AC"/>
    <w:rsid w:val="00EC571F"/>
    <w:rsid w:val="00ED2136"/>
    <w:rsid w:val="00ED3A62"/>
    <w:rsid w:val="00ED75F0"/>
    <w:rsid w:val="00EE2A6C"/>
    <w:rsid w:val="00EE541C"/>
    <w:rsid w:val="00EE6357"/>
    <w:rsid w:val="00EE64C6"/>
    <w:rsid w:val="00EE7CA4"/>
    <w:rsid w:val="00EF28E1"/>
    <w:rsid w:val="00EF354A"/>
    <w:rsid w:val="00F0004F"/>
    <w:rsid w:val="00F05E8B"/>
    <w:rsid w:val="00F14DE4"/>
    <w:rsid w:val="00F23290"/>
    <w:rsid w:val="00F23AF3"/>
    <w:rsid w:val="00F240E4"/>
    <w:rsid w:val="00F244AF"/>
    <w:rsid w:val="00F25392"/>
    <w:rsid w:val="00F309BE"/>
    <w:rsid w:val="00F31033"/>
    <w:rsid w:val="00F32346"/>
    <w:rsid w:val="00F36CF7"/>
    <w:rsid w:val="00F37E06"/>
    <w:rsid w:val="00F432AD"/>
    <w:rsid w:val="00F4567C"/>
    <w:rsid w:val="00F46204"/>
    <w:rsid w:val="00F47297"/>
    <w:rsid w:val="00F51FAC"/>
    <w:rsid w:val="00F57E14"/>
    <w:rsid w:val="00F57F67"/>
    <w:rsid w:val="00F65A4E"/>
    <w:rsid w:val="00F71146"/>
    <w:rsid w:val="00F71636"/>
    <w:rsid w:val="00F71C7F"/>
    <w:rsid w:val="00F74ADB"/>
    <w:rsid w:val="00F81360"/>
    <w:rsid w:val="00F84285"/>
    <w:rsid w:val="00F9336E"/>
    <w:rsid w:val="00F96346"/>
    <w:rsid w:val="00F96A29"/>
    <w:rsid w:val="00FB3071"/>
    <w:rsid w:val="00FB38D9"/>
    <w:rsid w:val="00FC232D"/>
    <w:rsid w:val="00FC2ED8"/>
    <w:rsid w:val="00FC4DE6"/>
    <w:rsid w:val="00FE4841"/>
    <w:rsid w:val="00FE60CD"/>
    <w:rsid w:val="00FF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customStyle="1" w:styleId="text">
    <w:name w:val="text"/>
    <w:basedOn w:val="Standard"/>
    <w:uiPriority w:val="99"/>
    <w:rsid w:val="0068151E"/>
    <w:pPr>
      <w:autoSpaceDE w:val="0"/>
      <w:autoSpaceDN w:val="0"/>
      <w:adjustRightInd w:val="0"/>
      <w:spacing w:line="260" w:lineRule="atLeast"/>
      <w:textAlignment w:val="center"/>
    </w:pPr>
    <w:rPr>
      <w:rFonts w:ascii="Arial" w:eastAsiaTheme="minorHAnsi" w:hAnsi="Arial" w:cs="Arial"/>
      <w:color w:val="58585B"/>
      <w:sz w:val="18"/>
      <w:szCs w:val="18"/>
      <w:lang w:eastAsia="en-US"/>
    </w:rPr>
  </w:style>
  <w:style w:type="character" w:customStyle="1" w:styleId="Aufzhlung">
    <w:name w:val="Aufzählung"/>
    <w:uiPriority w:val="99"/>
    <w:rsid w:val="0068151E"/>
    <w:rPr>
      <w:rFonts w:ascii="Arial" w:hAnsi="Arial" w:cs="Arial"/>
      <w:color w:val="000000"/>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customStyle="1" w:styleId="text">
    <w:name w:val="text"/>
    <w:basedOn w:val="Standard"/>
    <w:uiPriority w:val="99"/>
    <w:rsid w:val="0068151E"/>
    <w:pPr>
      <w:autoSpaceDE w:val="0"/>
      <w:autoSpaceDN w:val="0"/>
      <w:adjustRightInd w:val="0"/>
      <w:spacing w:line="260" w:lineRule="atLeast"/>
      <w:textAlignment w:val="center"/>
    </w:pPr>
    <w:rPr>
      <w:rFonts w:ascii="Arial" w:eastAsiaTheme="minorHAnsi" w:hAnsi="Arial" w:cs="Arial"/>
      <w:color w:val="58585B"/>
      <w:sz w:val="18"/>
      <w:szCs w:val="18"/>
      <w:lang w:eastAsia="en-US"/>
    </w:rPr>
  </w:style>
  <w:style w:type="character" w:customStyle="1" w:styleId="Aufzhlung">
    <w:name w:val="Aufzählung"/>
    <w:uiPriority w:val="99"/>
    <w:rsid w:val="0068151E"/>
    <w:rPr>
      <w:rFonts w:ascii="Arial" w:hAnsi="Arial" w:cs="Arial"/>
      <w:color w:val="000000"/>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5706">
      <w:bodyDiv w:val="1"/>
      <w:marLeft w:val="0"/>
      <w:marRight w:val="0"/>
      <w:marTop w:val="0"/>
      <w:marBottom w:val="0"/>
      <w:divBdr>
        <w:top w:val="none" w:sz="0" w:space="0" w:color="auto"/>
        <w:left w:val="none" w:sz="0" w:space="0" w:color="auto"/>
        <w:bottom w:val="none" w:sz="0" w:space="0" w:color="auto"/>
        <w:right w:val="none" w:sz="0" w:space="0" w:color="auto"/>
      </w:divBdr>
    </w:div>
    <w:div w:id="129829226">
      <w:bodyDiv w:val="1"/>
      <w:marLeft w:val="0"/>
      <w:marRight w:val="0"/>
      <w:marTop w:val="0"/>
      <w:marBottom w:val="0"/>
      <w:divBdr>
        <w:top w:val="none" w:sz="0" w:space="0" w:color="auto"/>
        <w:left w:val="none" w:sz="0" w:space="0" w:color="auto"/>
        <w:bottom w:val="none" w:sz="0" w:space="0" w:color="auto"/>
        <w:right w:val="none" w:sz="0" w:space="0" w:color="auto"/>
      </w:divBdr>
    </w:div>
    <w:div w:id="390427684">
      <w:bodyDiv w:val="1"/>
      <w:marLeft w:val="0"/>
      <w:marRight w:val="0"/>
      <w:marTop w:val="0"/>
      <w:marBottom w:val="0"/>
      <w:divBdr>
        <w:top w:val="none" w:sz="0" w:space="0" w:color="auto"/>
        <w:left w:val="none" w:sz="0" w:space="0" w:color="auto"/>
        <w:bottom w:val="none" w:sz="0" w:space="0" w:color="auto"/>
        <w:right w:val="none" w:sz="0" w:space="0" w:color="auto"/>
      </w:divBdr>
    </w:div>
    <w:div w:id="488519016">
      <w:bodyDiv w:val="1"/>
      <w:marLeft w:val="0"/>
      <w:marRight w:val="0"/>
      <w:marTop w:val="0"/>
      <w:marBottom w:val="0"/>
      <w:divBdr>
        <w:top w:val="none" w:sz="0" w:space="0" w:color="auto"/>
        <w:left w:val="none" w:sz="0" w:space="0" w:color="auto"/>
        <w:bottom w:val="none" w:sz="0" w:space="0" w:color="auto"/>
        <w:right w:val="none" w:sz="0" w:space="0" w:color="auto"/>
      </w:divBdr>
    </w:div>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994532673">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114592077">
      <w:bodyDiv w:val="1"/>
      <w:marLeft w:val="0"/>
      <w:marRight w:val="0"/>
      <w:marTop w:val="0"/>
      <w:marBottom w:val="0"/>
      <w:divBdr>
        <w:top w:val="none" w:sz="0" w:space="0" w:color="auto"/>
        <w:left w:val="none" w:sz="0" w:space="0" w:color="auto"/>
        <w:bottom w:val="none" w:sz="0" w:space="0" w:color="auto"/>
        <w:right w:val="none" w:sz="0" w:space="0" w:color="auto"/>
      </w:divBdr>
    </w:div>
    <w:div w:id="1228420798">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526404991">
      <w:bodyDiv w:val="1"/>
      <w:marLeft w:val="0"/>
      <w:marRight w:val="0"/>
      <w:marTop w:val="0"/>
      <w:marBottom w:val="0"/>
      <w:divBdr>
        <w:top w:val="none" w:sz="0" w:space="0" w:color="auto"/>
        <w:left w:val="none" w:sz="0" w:space="0" w:color="auto"/>
        <w:bottom w:val="none" w:sz="0" w:space="0" w:color="auto"/>
        <w:right w:val="none" w:sz="0" w:space="0" w:color="auto"/>
      </w:divBdr>
    </w:div>
    <w:div w:id="1532186405">
      <w:bodyDiv w:val="1"/>
      <w:marLeft w:val="0"/>
      <w:marRight w:val="0"/>
      <w:marTop w:val="0"/>
      <w:marBottom w:val="0"/>
      <w:divBdr>
        <w:top w:val="none" w:sz="0" w:space="0" w:color="auto"/>
        <w:left w:val="none" w:sz="0" w:space="0" w:color="auto"/>
        <w:bottom w:val="none" w:sz="0" w:space="0" w:color="auto"/>
        <w:right w:val="none" w:sz="0" w:space="0" w:color="auto"/>
      </w:divBdr>
    </w:div>
    <w:div w:id="1533223903">
      <w:bodyDiv w:val="1"/>
      <w:marLeft w:val="0"/>
      <w:marRight w:val="0"/>
      <w:marTop w:val="0"/>
      <w:marBottom w:val="0"/>
      <w:divBdr>
        <w:top w:val="none" w:sz="0" w:space="0" w:color="auto"/>
        <w:left w:val="none" w:sz="0" w:space="0" w:color="auto"/>
        <w:bottom w:val="none" w:sz="0" w:space="0" w:color="auto"/>
        <w:right w:val="none" w:sz="0" w:space="0" w:color="auto"/>
      </w:divBdr>
    </w:div>
    <w:div w:id="1584416953">
      <w:bodyDiv w:val="1"/>
      <w:marLeft w:val="0"/>
      <w:marRight w:val="0"/>
      <w:marTop w:val="0"/>
      <w:marBottom w:val="0"/>
      <w:divBdr>
        <w:top w:val="none" w:sz="0" w:space="0" w:color="auto"/>
        <w:left w:val="none" w:sz="0" w:space="0" w:color="auto"/>
        <w:bottom w:val="none" w:sz="0" w:space="0" w:color="auto"/>
        <w:right w:val="none" w:sz="0" w:space="0" w:color="auto"/>
      </w:divBdr>
    </w:div>
    <w:div w:id="1683507756">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 w:id="1894269995">
      <w:bodyDiv w:val="1"/>
      <w:marLeft w:val="0"/>
      <w:marRight w:val="0"/>
      <w:marTop w:val="0"/>
      <w:marBottom w:val="0"/>
      <w:divBdr>
        <w:top w:val="none" w:sz="0" w:space="0" w:color="auto"/>
        <w:left w:val="none" w:sz="0" w:space="0" w:color="auto"/>
        <w:bottom w:val="none" w:sz="0" w:space="0" w:color="auto"/>
        <w:right w:val="none" w:sz="0" w:space="0" w:color="auto"/>
      </w:divBdr>
    </w:div>
    <w:div w:id="1923640841">
      <w:bodyDiv w:val="1"/>
      <w:marLeft w:val="0"/>
      <w:marRight w:val="0"/>
      <w:marTop w:val="0"/>
      <w:marBottom w:val="0"/>
      <w:divBdr>
        <w:top w:val="none" w:sz="0" w:space="0" w:color="auto"/>
        <w:left w:val="none" w:sz="0" w:space="0" w:color="auto"/>
        <w:bottom w:val="none" w:sz="0" w:space="0" w:color="auto"/>
        <w:right w:val="none" w:sz="0" w:space="0" w:color="auto"/>
      </w:divBdr>
    </w:div>
    <w:div w:id="1947149357">
      <w:bodyDiv w:val="1"/>
      <w:marLeft w:val="0"/>
      <w:marRight w:val="0"/>
      <w:marTop w:val="0"/>
      <w:marBottom w:val="0"/>
      <w:divBdr>
        <w:top w:val="none" w:sz="0" w:space="0" w:color="auto"/>
        <w:left w:val="none" w:sz="0" w:space="0" w:color="auto"/>
        <w:bottom w:val="none" w:sz="0" w:space="0" w:color="auto"/>
        <w:right w:val="none" w:sz="0" w:space="0" w:color="auto"/>
      </w:divBdr>
    </w:div>
    <w:div w:id="20021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a.ratschiller@raiffeisen.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9735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11152</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Christa Ratschiller</cp:lastModifiedBy>
  <cp:revision>9</cp:revision>
  <cp:lastPrinted>2020-05-05T10:11:00Z</cp:lastPrinted>
  <dcterms:created xsi:type="dcterms:W3CDTF">2020-05-11T09:59:00Z</dcterms:created>
  <dcterms:modified xsi:type="dcterms:W3CDTF">2020-05-15T09:38:00Z</dcterms:modified>
</cp:coreProperties>
</file>